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3F7E" w14:textId="77777777" w:rsidR="002132B5" w:rsidRDefault="002132B5">
      <w:pPr>
        <w:jc w:val="center"/>
      </w:pPr>
    </w:p>
    <w:p w14:paraId="178AB744" w14:textId="77777777" w:rsidR="002132B5" w:rsidRDefault="002132B5">
      <w:pPr>
        <w:jc w:val="center"/>
      </w:pPr>
    </w:p>
    <w:p w14:paraId="3FA57429" w14:textId="77777777" w:rsidR="002132B5" w:rsidRDefault="002132B5">
      <w:pPr>
        <w:jc w:val="center"/>
      </w:pPr>
    </w:p>
    <w:p w14:paraId="4966152C" w14:textId="77777777" w:rsidR="002132B5" w:rsidRDefault="002132B5">
      <w:pPr>
        <w:jc w:val="center"/>
      </w:pPr>
    </w:p>
    <w:p w14:paraId="6C470F60" w14:textId="77777777" w:rsidR="002132B5" w:rsidRDefault="002132B5">
      <w:pPr>
        <w:jc w:val="center"/>
      </w:pPr>
    </w:p>
    <w:p w14:paraId="7D25C045" w14:textId="77777777" w:rsidR="002132B5" w:rsidRDefault="002132B5">
      <w:pPr>
        <w:jc w:val="center"/>
      </w:pPr>
    </w:p>
    <w:p w14:paraId="2C4E1493" w14:textId="77777777" w:rsidR="002132B5" w:rsidRDefault="005C14E7">
      <w:pPr>
        <w:jc w:val="center"/>
        <w:rPr>
          <w:rFonts w:ascii="Arial" w:eastAsia="Arial" w:hAnsi="Arial" w:cs="Arial"/>
          <w:b/>
          <w:color w:val="F15A37"/>
          <w:sz w:val="72"/>
          <w:szCs w:val="72"/>
        </w:rPr>
      </w:pPr>
      <w:r>
        <w:rPr>
          <w:rFonts w:ascii="Arial" w:eastAsia="Arial" w:hAnsi="Arial" w:cs="Arial"/>
          <w:b/>
          <w:color w:val="ABCE39"/>
          <w:sz w:val="72"/>
          <w:szCs w:val="72"/>
        </w:rPr>
        <w:t xml:space="preserve">~ </w:t>
      </w:r>
      <w:proofErr w:type="spellStart"/>
      <w:r>
        <w:rPr>
          <w:rFonts w:ascii="Arial" w:eastAsia="Arial" w:hAnsi="Arial" w:cs="Arial"/>
          <w:b/>
          <w:color w:val="38761D"/>
          <w:sz w:val="72"/>
          <w:szCs w:val="72"/>
        </w:rPr>
        <w:t>Keolu</w:t>
      </w:r>
      <w:proofErr w:type="spellEnd"/>
      <w:r>
        <w:rPr>
          <w:rFonts w:ascii="Arial" w:eastAsia="Arial" w:hAnsi="Arial" w:cs="Arial"/>
          <w:b/>
          <w:color w:val="38761D"/>
          <w:sz w:val="72"/>
          <w:szCs w:val="72"/>
        </w:rPr>
        <w:t xml:space="preserve"> Elementary </w:t>
      </w:r>
      <w:r>
        <w:rPr>
          <w:rFonts w:ascii="Arial" w:eastAsia="Arial" w:hAnsi="Arial" w:cs="Arial"/>
          <w:b/>
          <w:color w:val="ABCE39"/>
          <w:sz w:val="72"/>
          <w:szCs w:val="72"/>
        </w:rPr>
        <w:t>~</w:t>
      </w:r>
      <w:r>
        <w:rPr>
          <w:rFonts w:ascii="Arial" w:eastAsia="Arial" w:hAnsi="Arial" w:cs="Arial"/>
          <w:b/>
          <w:color w:val="F15A37"/>
          <w:sz w:val="72"/>
          <w:szCs w:val="72"/>
        </w:rPr>
        <w:t xml:space="preserve"> </w:t>
      </w:r>
    </w:p>
    <w:p w14:paraId="4A780878" w14:textId="77777777" w:rsidR="002132B5" w:rsidRDefault="005C14E7">
      <w:pPr>
        <w:jc w:val="center"/>
        <w:rPr>
          <w:rFonts w:ascii="Arial" w:eastAsia="Arial" w:hAnsi="Arial" w:cs="Arial"/>
          <w:b/>
          <w:color w:val="38761D"/>
          <w:sz w:val="28"/>
          <w:szCs w:val="28"/>
        </w:rPr>
      </w:pPr>
      <w:r>
        <w:rPr>
          <w:rFonts w:ascii="Arial" w:eastAsia="Arial" w:hAnsi="Arial" w:cs="Arial"/>
          <w:b/>
          <w:color w:val="38761D"/>
          <w:sz w:val="72"/>
          <w:szCs w:val="72"/>
        </w:rPr>
        <w:t>Academic Plan</w:t>
      </w:r>
      <w:r>
        <w:rPr>
          <w:rFonts w:ascii="Arial" w:eastAsia="Arial" w:hAnsi="Arial" w:cs="Arial"/>
          <w:b/>
          <w:color w:val="38761D"/>
          <w:sz w:val="28"/>
          <w:szCs w:val="28"/>
        </w:rPr>
        <w:t xml:space="preserve"> </w:t>
      </w:r>
    </w:p>
    <w:p w14:paraId="79E9BEDA" w14:textId="77777777" w:rsidR="002132B5" w:rsidRDefault="005C14E7">
      <w:pPr>
        <w:jc w:val="center"/>
        <w:rPr>
          <w:rFonts w:ascii="Arial" w:eastAsia="Arial" w:hAnsi="Arial" w:cs="Arial"/>
          <w:b/>
          <w:color w:val="38761D"/>
          <w:sz w:val="28"/>
          <w:szCs w:val="28"/>
        </w:rPr>
      </w:pPr>
      <w:r>
        <w:rPr>
          <w:rFonts w:ascii="Arial" w:eastAsia="Arial" w:hAnsi="Arial" w:cs="Arial"/>
          <w:b/>
          <w:color w:val="38761D"/>
          <w:sz w:val="28"/>
          <w:szCs w:val="28"/>
        </w:rPr>
        <w:t>SY 2021 - 2022</w:t>
      </w:r>
    </w:p>
    <w:p w14:paraId="174BBA8B" w14:textId="77777777" w:rsidR="002132B5" w:rsidRDefault="005C14E7">
      <w:pPr>
        <w:jc w:val="center"/>
        <w:rPr>
          <w:rFonts w:ascii="Arial" w:eastAsia="Arial" w:hAnsi="Arial" w:cs="Arial"/>
          <w:b/>
          <w:color w:val="ABCE39"/>
          <w:sz w:val="72"/>
          <w:szCs w:val="72"/>
        </w:rPr>
      </w:pPr>
      <w:r>
        <w:rPr>
          <w:rFonts w:ascii="Arial" w:eastAsia="Arial" w:hAnsi="Arial" w:cs="Arial"/>
          <w:b/>
          <w:noProof/>
          <w:color w:val="ABCE39"/>
          <w:sz w:val="72"/>
          <w:szCs w:val="72"/>
        </w:rPr>
        <w:drawing>
          <wp:inline distT="114300" distB="114300" distL="114300" distR="114300" wp14:anchorId="565E4BB7" wp14:editId="7A8B864A">
            <wp:extent cx="2643188" cy="2057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3188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401806" w14:textId="77777777" w:rsidR="002132B5" w:rsidRDefault="005C14E7">
      <w:pPr>
        <w:jc w:val="center"/>
      </w:pPr>
      <w:r>
        <w:t xml:space="preserve">Academic Plan </w:t>
      </w:r>
    </w:p>
    <w:p w14:paraId="68E67A7D" w14:textId="77777777" w:rsidR="002132B5" w:rsidRDefault="005C14E7">
      <w:pPr>
        <w:jc w:val="center"/>
      </w:pPr>
      <w:r>
        <w:t>SY 2021-2022</w:t>
      </w:r>
    </w:p>
    <w:p w14:paraId="6CF60538" w14:textId="77777777" w:rsidR="002132B5" w:rsidRDefault="005C14E7">
      <w:pPr>
        <w:jc w:val="center"/>
      </w:pPr>
      <w:r>
        <w:t>Draft#1</w:t>
      </w:r>
    </w:p>
    <w:p w14:paraId="35332031" w14:textId="77777777" w:rsidR="002132B5" w:rsidRDefault="005C14E7">
      <w:pPr>
        <w:jc w:val="center"/>
      </w:pPr>
      <w:r>
        <w:t>April 1, 2021</w:t>
      </w:r>
    </w:p>
    <w:p w14:paraId="0566D28B" w14:textId="77777777" w:rsidR="002132B5" w:rsidRDefault="002132B5">
      <w:pPr>
        <w:jc w:val="center"/>
      </w:pPr>
    </w:p>
    <w:p w14:paraId="54A7D0B2" w14:textId="77777777" w:rsidR="002132B5" w:rsidRDefault="002132B5">
      <w:pPr>
        <w:jc w:val="center"/>
      </w:pPr>
    </w:p>
    <w:p w14:paraId="44FE3154" w14:textId="77777777" w:rsidR="002132B5" w:rsidRDefault="002132B5">
      <w:pPr>
        <w:jc w:val="center"/>
      </w:pPr>
    </w:p>
    <w:p w14:paraId="66B7363C" w14:textId="77777777" w:rsidR="002132B5" w:rsidRDefault="002132B5">
      <w:pPr>
        <w:jc w:val="center"/>
        <w:rPr>
          <w:rFonts w:ascii="Bree Serif" w:eastAsia="Bree Serif" w:hAnsi="Bree Serif" w:cs="Bree Serif"/>
          <w:b/>
          <w:color w:val="ABCE39"/>
        </w:rPr>
      </w:pPr>
    </w:p>
    <w:p w14:paraId="1DA88A05" w14:textId="77777777" w:rsidR="002132B5" w:rsidRDefault="005C14E7">
      <w:pPr>
        <w:jc w:val="center"/>
      </w:pPr>
      <w:proofErr w:type="spellStart"/>
      <w:r>
        <w:rPr>
          <w:b/>
          <w:color w:val="000000"/>
          <w:sz w:val="22"/>
          <w:szCs w:val="22"/>
        </w:rPr>
        <w:t>Keolu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Elementary,</w:t>
      </w:r>
      <w:r>
        <w:t xml:space="preserve"> </w:t>
      </w:r>
      <w:r>
        <w:rPr>
          <w:color w:val="000000"/>
          <w:sz w:val="22"/>
          <w:szCs w:val="22"/>
        </w:rPr>
        <w:t xml:space="preserve">1416 </w:t>
      </w:r>
      <w:proofErr w:type="spellStart"/>
      <w:r>
        <w:rPr>
          <w:color w:val="000000"/>
          <w:sz w:val="22"/>
          <w:szCs w:val="22"/>
        </w:rPr>
        <w:t>Keolu</w:t>
      </w:r>
      <w:proofErr w:type="spellEnd"/>
      <w:r>
        <w:rPr>
          <w:color w:val="000000"/>
          <w:sz w:val="22"/>
          <w:szCs w:val="22"/>
        </w:rPr>
        <w:t xml:space="preserve"> Drive</w:t>
      </w:r>
      <w:r>
        <w:t xml:space="preserve">, </w:t>
      </w:r>
      <w:r>
        <w:rPr>
          <w:color w:val="000000"/>
          <w:sz w:val="22"/>
          <w:szCs w:val="22"/>
        </w:rPr>
        <w:t>Kailua, HI 96734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ABCAC7" wp14:editId="3A8F24E9">
            <wp:simplePos x="0" y="0"/>
            <wp:positionH relativeFrom="column">
              <wp:posOffset>9163050</wp:posOffset>
            </wp:positionH>
            <wp:positionV relativeFrom="paragraph">
              <wp:posOffset>119795</wp:posOffset>
            </wp:positionV>
            <wp:extent cx="723900" cy="723900"/>
            <wp:effectExtent l="0" t="0" r="0" b="0"/>
            <wp:wrapNone/>
            <wp:docPr id="1" name="image4.png" descr="Hawai State Department of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awai State Department of Education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C39CB5" w14:textId="77777777" w:rsidR="002132B5" w:rsidRDefault="005C14E7">
      <w:pPr>
        <w:jc w:val="center"/>
      </w:pPr>
      <w:r>
        <w:rPr>
          <w:color w:val="000000"/>
          <w:sz w:val="22"/>
          <w:szCs w:val="22"/>
        </w:rPr>
        <w:t>808.266.7818</w:t>
      </w:r>
    </w:p>
    <w:p w14:paraId="1C5FC31E" w14:textId="77777777" w:rsidR="002132B5" w:rsidRDefault="005C14E7">
      <w:pPr>
        <w:jc w:val="center"/>
        <w:rPr>
          <w:color w:val="0000FF"/>
          <w:sz w:val="22"/>
          <w:szCs w:val="22"/>
          <w:u w:val="single"/>
        </w:rPr>
      </w:pPr>
      <w:hyperlink r:id="rId9">
        <w:r>
          <w:rPr>
            <w:color w:val="0000FF"/>
            <w:sz w:val="22"/>
            <w:szCs w:val="22"/>
            <w:u w:val="single"/>
          </w:rPr>
          <w:t>http://keoluelementary.com/</w:t>
        </w:r>
      </w:hyperlink>
    </w:p>
    <w:p w14:paraId="20CD16F0" w14:textId="77777777" w:rsidR="002132B5" w:rsidRDefault="002132B5">
      <w:pPr>
        <w:jc w:val="center"/>
      </w:pPr>
    </w:p>
    <w:p w14:paraId="76F5C223" w14:textId="77777777" w:rsidR="002132B5" w:rsidRDefault="002132B5">
      <w:pPr>
        <w:jc w:val="center"/>
      </w:pPr>
    </w:p>
    <w:p w14:paraId="4D25A775" w14:textId="77777777" w:rsidR="002132B5" w:rsidRDefault="005C14E7">
      <w:pPr>
        <w:rPr>
          <w:b/>
          <w:color w:val="000000"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              </w:t>
      </w:r>
      <w:r>
        <w:rPr>
          <w:b/>
          <w:color w:val="000000"/>
          <w:sz w:val="21"/>
          <w:szCs w:val="21"/>
        </w:rPr>
        <w:t>Academic Plan, School Year 2021- 2022</w:t>
      </w:r>
    </w:p>
    <w:p w14:paraId="38961F54" w14:textId="77777777" w:rsidR="002132B5" w:rsidRDefault="002132B5">
      <w:pPr>
        <w:rPr>
          <w:b/>
          <w:sz w:val="21"/>
          <w:szCs w:val="21"/>
        </w:rPr>
      </w:pPr>
    </w:p>
    <w:p w14:paraId="723C9B9A" w14:textId="77777777" w:rsidR="002132B5" w:rsidRDefault="002132B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  <w:sz w:val="21"/>
          <w:szCs w:val="21"/>
        </w:rPr>
      </w:pPr>
    </w:p>
    <w:p w14:paraId="1A2A44BB" w14:textId="77777777" w:rsidR="002132B5" w:rsidRDefault="005C14E7">
      <w:pPr>
        <w:spacing w:before="240" w:after="240"/>
        <w:ind w:left="720"/>
        <w:rPr>
          <w:sz w:val="21"/>
          <w:szCs w:val="21"/>
        </w:rPr>
      </w:pPr>
      <w:bookmarkStart w:id="0" w:name="_gjdgxs" w:colFirst="0" w:colLast="0"/>
      <w:bookmarkEnd w:id="0"/>
      <w:r>
        <w:rPr>
          <w:b/>
          <w:sz w:val="21"/>
          <w:szCs w:val="21"/>
        </w:rPr>
        <w:t xml:space="preserve">School: </w:t>
      </w:r>
      <w:r>
        <w:rPr>
          <w:sz w:val="21"/>
          <w:szCs w:val="21"/>
        </w:rPr>
        <w:t xml:space="preserve">Developing a collaborative Academic Plan framed by the HIDOE Learning Organization is the foundation for a forward focused Academic Plan. </w:t>
      </w:r>
    </w:p>
    <w:p w14:paraId="629B6F0E" w14:textId="77777777" w:rsidR="002132B5" w:rsidRDefault="005C14E7">
      <w:pPr>
        <w:spacing w:before="240" w:after="240"/>
        <w:ind w:left="720"/>
        <w:rPr>
          <w:sz w:val="21"/>
          <w:szCs w:val="21"/>
        </w:rPr>
      </w:pPr>
      <w:r>
        <w:rPr>
          <w:sz w:val="21"/>
          <w:szCs w:val="21"/>
        </w:rPr>
        <w:t>An effective Academic Plan utilizes existing school resources to improve and/or introduce new ideas that accelerate the school community’s knowledge about ending achievement gaps and providing equitable services for all students. A forward focused Academic</w:t>
      </w:r>
      <w:r>
        <w:rPr>
          <w:sz w:val="21"/>
          <w:szCs w:val="21"/>
        </w:rPr>
        <w:t xml:space="preserve"> Plan clearly describes a school’s Theory of Action that incorporates the following:  1) analyzing data to explain achievement gaps; 2) incorporating measurable outcomes that inform a school how to close an achievement gap; and 3) applying contextual and c</w:t>
      </w:r>
      <w:r>
        <w:rPr>
          <w:sz w:val="21"/>
          <w:szCs w:val="21"/>
        </w:rPr>
        <w:t xml:space="preserve">ommunity measurements and assessments.  </w:t>
      </w:r>
    </w:p>
    <w:p w14:paraId="000063FA" w14:textId="77777777" w:rsidR="002132B5" w:rsidRDefault="005C14E7">
      <w:pPr>
        <w:ind w:left="720"/>
        <w:rPr>
          <w:sz w:val="21"/>
          <w:szCs w:val="21"/>
        </w:rPr>
      </w:pPr>
      <w:r>
        <w:rPr>
          <w:sz w:val="21"/>
          <w:szCs w:val="21"/>
        </w:rPr>
        <w:t>Starting from a comprehensive needs assessment, schools design measurable outcomes from the study of organizational, instructional, and student support systems. The measurable outcomes are implemented and improved t</w:t>
      </w:r>
      <w:r>
        <w:rPr>
          <w:sz w:val="21"/>
          <w:szCs w:val="21"/>
        </w:rPr>
        <w:t xml:space="preserve">hrough Plan, Do, Check, Act (PDCA) cycles and systemized by leading indicators. </w:t>
      </w:r>
    </w:p>
    <w:p w14:paraId="2A0812E9" w14:textId="77777777" w:rsidR="002132B5" w:rsidRDefault="005C14E7">
      <w:pPr>
        <w:pStyle w:val="Heading2"/>
        <w:spacing w:before="240" w:after="120"/>
        <w:ind w:left="720"/>
        <w:rPr>
          <w:sz w:val="21"/>
          <w:szCs w:val="21"/>
        </w:rPr>
      </w:pPr>
      <w:r>
        <w:rPr>
          <w:sz w:val="21"/>
          <w:szCs w:val="21"/>
        </w:rPr>
        <w:t>HIDOE Learning Organization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087D8B6" wp14:editId="16917E55">
            <wp:simplePos x="0" y="0"/>
            <wp:positionH relativeFrom="column">
              <wp:posOffset>7600950</wp:posOffset>
            </wp:positionH>
            <wp:positionV relativeFrom="paragraph">
              <wp:posOffset>83846</wp:posOffset>
            </wp:positionV>
            <wp:extent cx="2290765" cy="2178383"/>
            <wp:effectExtent l="0" t="0" r="0" b="0"/>
            <wp:wrapNone/>
            <wp:docPr id="4" name="image1.png" descr="HIDOE Learning Organization pyramid graphic shows three layers: Pipeline of Emerging Ideas (top), with a focus on pilot projects and design thinking; Innovation in Support of the Core (middle), with a focus on School Design and Student Voice; and Teaching &amp; Learning Core (bottom), with a focus on equity and excellence. The Teacher Collaboration arrow runs top to bottom indicating the need for it to make the learning organization a succes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IDOE Learning Organization pyramid graphic shows three layers: Pipeline of Emerging Ideas (top), with a focus on pilot projects and design thinking; Innovation in Support of the Core (middle), with a focus on School Design and Student Voice; and Teaching &amp; Learning Core (bottom), with a focus on equity and excellence. The Teacher Collaboration arrow runs top to bottom indicating the need for it to make the learning organization a success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5" cy="2178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CA4B1E" w14:textId="77777777" w:rsidR="002132B5" w:rsidRDefault="005C14E7">
      <w:pPr>
        <w:spacing w:after="60"/>
        <w:ind w:left="720" w:right="5674"/>
        <w:rPr>
          <w:sz w:val="21"/>
          <w:szCs w:val="21"/>
        </w:rPr>
      </w:pPr>
      <w:r>
        <w:rPr>
          <w:b/>
          <w:sz w:val="21"/>
          <w:szCs w:val="21"/>
        </w:rPr>
        <w:t xml:space="preserve">Pipeline of Emerging Ideas: </w:t>
      </w:r>
      <w:r>
        <w:rPr>
          <w:sz w:val="21"/>
          <w:szCs w:val="21"/>
        </w:rPr>
        <w:t xml:space="preserve">To prepare for emerging trends, advancements and changes that impact education, </w:t>
      </w:r>
      <w:r>
        <w:rPr>
          <w:sz w:val="21"/>
          <w:szCs w:val="21"/>
        </w:rPr>
        <w:br/>
        <w:t>ideas are tried and vetted by our sch</w:t>
      </w:r>
      <w:r>
        <w:rPr>
          <w:sz w:val="21"/>
          <w:szCs w:val="21"/>
        </w:rPr>
        <w:t xml:space="preserve">ools and teams, some will advance to support the core. </w:t>
      </w:r>
    </w:p>
    <w:p w14:paraId="75B07052" w14:textId="77777777" w:rsidR="002132B5" w:rsidRDefault="005C14E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5674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Pipeline of Emerging Ideas is linked to the HIDOE 2020-30 Strategic Plan </w:t>
      </w:r>
    </w:p>
    <w:p w14:paraId="0CD2035C" w14:textId="77777777" w:rsidR="002132B5" w:rsidRDefault="005C14E7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right="5674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(page 5).</w:t>
      </w:r>
    </w:p>
    <w:p w14:paraId="6FD7A6C7" w14:textId="77777777" w:rsidR="002132B5" w:rsidRDefault="005C14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5674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Innovation in Support of the Core: </w:t>
      </w:r>
      <w:r>
        <w:rPr>
          <w:color w:val="000000"/>
          <w:sz w:val="21"/>
          <w:szCs w:val="21"/>
        </w:rPr>
        <w:t xml:space="preserve">New strategies and systems for delivering teaching and learning. High-Impact strategies: School Design, Teacher Collaboration, Student Voice. </w:t>
      </w:r>
    </w:p>
    <w:p w14:paraId="3F260FA3" w14:textId="77777777" w:rsidR="002132B5" w:rsidRDefault="005C14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567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Academic Plan incorporates School Design and Student Voice for </w:t>
      </w:r>
      <w:r>
        <w:rPr>
          <w:b/>
          <w:color w:val="000000"/>
          <w:sz w:val="21"/>
          <w:szCs w:val="21"/>
        </w:rPr>
        <w:t>Innovation in Support of the Core</w:t>
      </w:r>
      <w:r>
        <w:rPr>
          <w:color w:val="000000"/>
          <w:sz w:val="21"/>
          <w:szCs w:val="21"/>
        </w:rPr>
        <w:t xml:space="preserve"> (pages 3-4).</w:t>
      </w:r>
      <w:r>
        <w:rPr>
          <w:color w:val="000000"/>
          <w:sz w:val="21"/>
          <w:szCs w:val="21"/>
        </w:rPr>
        <w:t xml:space="preserve"> </w:t>
      </w:r>
    </w:p>
    <w:p w14:paraId="3232B70F" w14:textId="77777777" w:rsidR="002132B5" w:rsidRDefault="005C14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5674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Teaching &amp; Learning Core: </w:t>
      </w:r>
      <w:r>
        <w:rPr>
          <w:color w:val="000000"/>
          <w:sz w:val="21"/>
          <w:szCs w:val="21"/>
        </w:rPr>
        <w:t xml:space="preserve">Focus: equity and excellence in core curriculum and supports. </w:t>
      </w:r>
    </w:p>
    <w:p w14:paraId="5EA581EE" w14:textId="77777777" w:rsidR="002132B5" w:rsidRDefault="005C14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right="567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Academic Plan is structured by the HIDOE Learning Organization, and it is founded on the </w:t>
      </w:r>
      <w:r>
        <w:rPr>
          <w:b/>
          <w:color w:val="000000"/>
          <w:sz w:val="21"/>
          <w:szCs w:val="21"/>
        </w:rPr>
        <w:t>Teaching &amp; Learning Core</w:t>
      </w:r>
      <w:r>
        <w:rPr>
          <w:color w:val="000000"/>
          <w:sz w:val="21"/>
          <w:szCs w:val="21"/>
        </w:rPr>
        <w:t xml:space="preserve"> (page 2).</w:t>
      </w:r>
    </w:p>
    <w:p w14:paraId="0E766C3E" w14:textId="77777777" w:rsidR="002132B5" w:rsidRDefault="002132B5">
      <w:pPr>
        <w:ind w:left="720"/>
      </w:pPr>
    </w:p>
    <w:tbl>
      <w:tblPr>
        <w:tblStyle w:val="a"/>
        <w:tblW w:w="1233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0"/>
      </w:tblGrid>
      <w:tr w:rsidR="002132B5" w14:paraId="4A7E07C8" w14:textId="77777777">
        <w:trPr>
          <w:trHeight w:val="872"/>
        </w:trPr>
        <w:tc>
          <w:tcPr>
            <w:tcW w:w="12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2345C3" w14:textId="77777777" w:rsidR="002132B5" w:rsidRDefault="005C14E7">
            <w:r>
              <w:t>Principal: Gay Kong        Date: April 1, 2021</w:t>
            </w:r>
          </w:p>
          <w:p w14:paraId="14382F5F" w14:textId="77777777" w:rsidR="002132B5" w:rsidRDefault="005C14E7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66A84FE7" wp14:editId="620E46A1">
                  <wp:extent cx="1005649" cy="2476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49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5FFD6D4E" w14:textId="77777777" w:rsidR="002132B5" w:rsidRDefault="002132B5">
      <w:pPr>
        <w:ind w:left="720"/>
        <w:rPr>
          <w:sz w:val="16"/>
          <w:szCs w:val="16"/>
        </w:rPr>
      </w:pPr>
    </w:p>
    <w:tbl>
      <w:tblPr>
        <w:tblStyle w:val="a0"/>
        <w:tblW w:w="1233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0"/>
      </w:tblGrid>
      <w:tr w:rsidR="002132B5" w14:paraId="6293FF84" w14:textId="77777777">
        <w:trPr>
          <w:trHeight w:val="431"/>
        </w:trPr>
        <w:tc>
          <w:tcPr>
            <w:tcW w:w="1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2786" w14:textId="77777777" w:rsidR="002132B5" w:rsidRDefault="005C14E7">
            <w:r>
              <w:t xml:space="preserve">Complex Area Superintendent: </w:t>
            </w:r>
            <w:proofErr w:type="spellStart"/>
            <w:r>
              <w:t>Lanelle</w:t>
            </w:r>
            <w:proofErr w:type="spellEnd"/>
            <w:r>
              <w:t xml:space="preserve"> Hibbs</w:t>
            </w:r>
          </w:p>
        </w:tc>
      </w:tr>
      <w:tr w:rsidR="002132B5" w14:paraId="3CBD3F3D" w14:textId="77777777">
        <w:trPr>
          <w:trHeight w:val="791"/>
        </w:trPr>
        <w:tc>
          <w:tcPr>
            <w:tcW w:w="1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61DD" w14:textId="77777777" w:rsidR="002132B5" w:rsidRDefault="005C14E7">
            <w:r>
              <w:t>Complex Area Superintendent’s signature and date</w:t>
            </w:r>
          </w:p>
        </w:tc>
      </w:tr>
    </w:tbl>
    <w:p w14:paraId="432FECD7" w14:textId="77777777" w:rsidR="002132B5" w:rsidRDefault="002132B5">
      <w:pPr>
        <w:rPr>
          <w:rFonts w:ascii="-webkit-standard" w:eastAsia="-webkit-standard" w:hAnsi="-webkit-standard" w:cs="-webkit-standard"/>
          <w:color w:val="000000"/>
        </w:rPr>
      </w:pPr>
    </w:p>
    <w:p w14:paraId="209DBA3E" w14:textId="77777777" w:rsidR="002132B5" w:rsidRDefault="002132B5">
      <w:pPr>
        <w:rPr>
          <w:rFonts w:ascii="-webkit-standard" w:eastAsia="-webkit-standard" w:hAnsi="-webkit-standard" w:cs="-webkit-standard"/>
          <w:color w:val="000000"/>
        </w:rPr>
      </w:pPr>
    </w:p>
    <w:p w14:paraId="5DFE9099" w14:textId="77777777" w:rsidR="002132B5" w:rsidRDefault="002132B5">
      <w:pPr>
        <w:rPr>
          <w:rFonts w:ascii="Calibri" w:eastAsia="Calibri" w:hAnsi="Calibri" w:cs="Calibri"/>
          <w:b/>
          <w:sz w:val="36"/>
          <w:szCs w:val="36"/>
        </w:rPr>
      </w:pPr>
    </w:p>
    <w:p w14:paraId="09FE20A4" w14:textId="77777777" w:rsidR="002132B5" w:rsidRDefault="005C14E7">
      <w:pPr>
        <w:ind w:left="720"/>
        <w:rPr>
          <w:rFonts w:ascii="-webkit-standard" w:eastAsia="-webkit-standard" w:hAnsi="-webkit-standard" w:cs="-webkit-standard"/>
          <w:color w:val="000000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 Goal 1:  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Improve Learning Environment to Support the Whole Child </w:t>
      </w:r>
      <w:r>
        <w:rPr>
          <w:rFonts w:ascii="Calibri" w:eastAsia="Calibri" w:hAnsi="Calibri" w:cs="Calibri"/>
          <w:b/>
          <w:color w:val="000000"/>
        </w:rPr>
        <w:t>                                                       </w:t>
      </w:r>
    </w:p>
    <w:p w14:paraId="7536EBFF" w14:textId="77777777" w:rsidR="002132B5" w:rsidRDefault="005C14E7">
      <w:pPr>
        <w:ind w:left="720"/>
        <w:rPr>
          <w:rFonts w:ascii="-webkit-standard" w:eastAsia="-webkit-standard" w:hAnsi="-webkit-standard" w:cs="-webkit-standard"/>
          <w:color w:val="000000"/>
        </w:rPr>
      </w:pPr>
      <w:r>
        <w:rPr>
          <w:rFonts w:ascii="-webkit-standard" w:eastAsia="-webkit-standard" w:hAnsi="-webkit-standard" w:cs="-webkit-standard"/>
          <w:b/>
          <w:color w:val="1155CC"/>
          <w:sz w:val="22"/>
          <w:szCs w:val="22"/>
        </w:rPr>
        <w:t xml:space="preserve">  School  Data:</w:t>
      </w:r>
      <w:r>
        <w:rPr>
          <w:rFonts w:ascii="-webkit-standard" w:eastAsia="-webkit-standard" w:hAnsi="-webkit-standard" w:cs="-webkit-standard"/>
          <w:color w:val="000000"/>
        </w:rPr>
        <w:t xml:space="preserve"> </w:t>
      </w:r>
      <w:hyperlink r:id="rId12">
        <w:r>
          <w:rPr>
            <w:rFonts w:ascii="Calibri" w:eastAsia="Calibri" w:hAnsi="Calibri" w:cs="Calibri"/>
            <w:b/>
            <w:color w:val="1155CC"/>
            <w:sz w:val="22"/>
            <w:szCs w:val="22"/>
          </w:rPr>
          <w:t>Panorama Results  fall 2020</w:t>
        </w:r>
      </w:hyperlink>
      <w:r>
        <w:rPr>
          <w:rFonts w:ascii="Calibri" w:eastAsia="Calibri" w:hAnsi="Calibri" w:cs="Calibri"/>
          <w:color w:val="1155CC"/>
          <w:sz w:val="22"/>
          <w:szCs w:val="22"/>
        </w:rPr>
        <w:t xml:space="preserve">     </w:t>
      </w:r>
      <w:hyperlink r:id="rId13">
        <w:r>
          <w:rPr>
            <w:rFonts w:ascii="Calibri" w:eastAsia="Calibri" w:hAnsi="Calibri" w:cs="Calibri"/>
            <w:b/>
            <w:color w:val="1155CC"/>
            <w:sz w:val="22"/>
            <w:szCs w:val="22"/>
          </w:rPr>
          <w:t>Panorama Site</w:t>
        </w:r>
      </w:hyperlink>
      <w:r>
        <w:rPr>
          <w:rFonts w:ascii="Calibri" w:eastAsia="Calibri" w:hAnsi="Calibri" w:cs="Calibri"/>
          <w:color w:val="1155CC"/>
          <w:sz w:val="22"/>
          <w:szCs w:val="22"/>
        </w:rPr>
        <w:t xml:space="preserve">       </w:t>
      </w:r>
      <w:hyperlink r:id="rId14">
        <w:r>
          <w:rPr>
            <w:rFonts w:ascii="Calibri" w:eastAsia="Calibri" w:hAnsi="Calibri" w:cs="Calibri"/>
            <w:b/>
            <w:color w:val="1155CC"/>
            <w:sz w:val="22"/>
            <w:szCs w:val="22"/>
          </w:rPr>
          <w:t>SEL SURVEY</w:t>
        </w:r>
      </w:hyperlink>
      <w:r>
        <w:rPr>
          <w:rFonts w:ascii="Calibri" w:eastAsia="Calibri" w:hAnsi="Calibri" w:cs="Calibri"/>
          <w:b/>
          <w:color w:val="1155CC"/>
          <w:sz w:val="22"/>
          <w:szCs w:val="22"/>
        </w:rPr>
        <w:t xml:space="preserve">    </w:t>
      </w:r>
      <w:hyperlink r:id="rId15">
        <w:r>
          <w:rPr>
            <w:rFonts w:ascii="Calibri" w:eastAsia="Calibri" w:hAnsi="Calibri" w:cs="Calibri"/>
            <w:b/>
            <w:color w:val="1155CC"/>
            <w:sz w:val="22"/>
            <w:szCs w:val="22"/>
          </w:rPr>
          <w:t>CNA</w:t>
        </w:r>
      </w:hyperlink>
      <w:r>
        <w:rPr>
          <w:rFonts w:ascii="Calibri" w:eastAsia="Calibri" w:hAnsi="Calibri" w:cs="Calibri"/>
          <w:color w:val="1155CC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color w:val="1155CC"/>
          <w:sz w:val="22"/>
          <w:szCs w:val="22"/>
        </w:rPr>
        <w:t xml:space="preserve"> </w:t>
      </w:r>
      <w:hyperlink r:id="rId16">
        <w:r>
          <w:rPr>
            <w:rFonts w:ascii="Calibri" w:eastAsia="Calibri" w:hAnsi="Calibri" w:cs="Calibri"/>
            <w:b/>
            <w:color w:val="1155CC"/>
            <w:sz w:val="22"/>
            <w:szCs w:val="22"/>
          </w:rPr>
          <w:t>GLO's</w:t>
        </w:r>
      </w:hyperlink>
    </w:p>
    <w:tbl>
      <w:tblPr>
        <w:tblStyle w:val="a1"/>
        <w:tblW w:w="15270" w:type="dxa"/>
        <w:jc w:val="center"/>
        <w:tblLayout w:type="fixed"/>
        <w:tblLook w:val="0400" w:firstRow="0" w:lastRow="0" w:firstColumn="0" w:lastColumn="0" w:noHBand="0" w:noVBand="1"/>
      </w:tblPr>
      <w:tblGrid>
        <w:gridCol w:w="4530"/>
        <w:gridCol w:w="3075"/>
        <w:gridCol w:w="4170"/>
        <w:gridCol w:w="3495"/>
      </w:tblGrid>
      <w:tr w:rsidR="002132B5" w14:paraId="76C5249B" w14:textId="77777777">
        <w:trPr>
          <w:trHeight w:val="969"/>
          <w:jc w:val="center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57088D39" w14:textId="77777777" w:rsidR="002132B5" w:rsidRDefault="005C14E7"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Actions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E1E99A5" w14:textId="77777777" w:rsidR="002132B5" w:rsidRDefault="005C14E7"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Goal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6F95C41" w14:textId="77777777" w:rsidR="002132B5" w:rsidRDefault="005C14E7"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Monitoring our Progress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575519A1" w14:textId="77777777" w:rsidR="002132B5" w:rsidRDefault="005C14E7"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>Resources/Funding Source</w:t>
            </w:r>
          </w:p>
        </w:tc>
      </w:tr>
      <w:tr w:rsidR="002132B5" w14:paraId="12D6B9B9" w14:textId="77777777">
        <w:trPr>
          <w:trHeight w:val="1575"/>
          <w:jc w:val="center"/>
        </w:trPr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041A3677" w14:textId="77777777" w:rsidR="002132B5" w:rsidRDefault="005C14E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a.)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Survey parents to gather information about: </w:t>
            </w:r>
          </w:p>
          <w:p w14:paraId="7CA812EC" w14:textId="77777777" w:rsidR="002132B5" w:rsidRDefault="005C14E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Strengths and gifts that they are willing to share with our students/school.</w:t>
            </w:r>
          </w:p>
          <w:p w14:paraId="56EAE191" w14:textId="77777777" w:rsidR="002132B5" w:rsidRDefault="005C14E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Needs and barriers that prevent them fully engaging in their child’s education. </w:t>
            </w:r>
          </w:p>
          <w:p w14:paraId="0BDC5F01" w14:textId="77777777" w:rsidR="002132B5" w:rsidRDefault="005C14E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Their preferred method of communication: email, text, website, phone call, hard copy notes. </w:t>
            </w:r>
          </w:p>
          <w:p w14:paraId="20356F59" w14:textId="77777777" w:rsidR="002132B5" w:rsidRDefault="002132B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CFD75D6" w14:textId="77777777" w:rsidR="002132B5" w:rsidRDefault="005C14E7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17">
              <w:r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</w:rPr>
                <w:t>CNA: SQS section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629E57AD" w14:textId="77777777" w:rsidR="002132B5" w:rsidRDefault="005C14E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By May of 2022</w:t>
            </w:r>
          </w:p>
          <w:p w14:paraId="6F9665E1" w14:textId="77777777" w:rsidR="002132B5" w:rsidRDefault="005C14E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minimum of 20% Increase parent engagement and reciprocal communication as measured against the survey that w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 sent home in the month of August 2021.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7CF675D" w14:textId="77777777" w:rsidR="002132B5" w:rsidRDefault="005C14E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August, 2021: Send survey out</w:t>
            </w:r>
          </w:p>
          <w:p w14:paraId="6ABD5A16" w14:textId="77777777" w:rsidR="002132B5" w:rsidRDefault="002132B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D35EF35" w14:textId="77777777" w:rsidR="002132B5" w:rsidRDefault="005C14E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September, 2021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Parent Engagement committee: Reviews surveys and creates an action plan to increase:</w:t>
            </w:r>
          </w:p>
          <w:p w14:paraId="1926AFB4" w14:textId="77777777" w:rsidR="002132B5" w:rsidRDefault="005C14E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Parent engagement</w:t>
            </w:r>
          </w:p>
          <w:p w14:paraId="7C2F5225" w14:textId="77777777" w:rsidR="002132B5" w:rsidRDefault="005C14E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Parent Reciprocal Communication</w:t>
            </w:r>
          </w:p>
          <w:p w14:paraId="3E6F59C4" w14:textId="77777777" w:rsidR="002132B5" w:rsidRDefault="005C14E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Monitoring system to measure our growth. </w:t>
            </w:r>
          </w:p>
          <w:p w14:paraId="50D385A6" w14:textId="77777777" w:rsidR="002132B5" w:rsidRDefault="002132B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BB1C27" w14:textId="77777777" w:rsidR="002132B5" w:rsidRDefault="005C14E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October – May, 2021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Implement family engagement activities (at least 3 per year)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6E33DEC1" w14:textId="77777777" w:rsidR="002132B5" w:rsidRDefault="005C14E7"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u w:val="single"/>
              </w:rPr>
              <w:t>Funding Source: Title One</w:t>
            </w:r>
          </w:p>
          <w:p w14:paraId="56F5831B" w14:textId="77777777" w:rsidR="002132B5" w:rsidRDefault="005C14E7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-PCNC (PPE NID)</w:t>
            </w:r>
          </w:p>
          <w:p w14:paraId="23B3795A" w14:textId="77777777" w:rsidR="002132B5" w:rsidRDefault="005C14E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Website Coordinator (PTT)</w:t>
            </w:r>
          </w:p>
          <w:p w14:paraId="374343AB" w14:textId="77777777" w:rsidR="002132B5" w:rsidRDefault="005C14E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Teacher planning time for events</w:t>
            </w:r>
          </w:p>
          <w:p w14:paraId="2A87C606" w14:textId="77777777" w:rsidR="002132B5" w:rsidRDefault="005E1CC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(PTT </w:t>
            </w:r>
            <w:bookmarkStart w:id="1" w:name="_GoBack"/>
            <w:bookmarkEnd w:id="1"/>
            <w:r w:rsidR="005C14E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pay)</w:t>
            </w:r>
          </w:p>
          <w:p w14:paraId="35C491EC" w14:textId="77777777" w:rsidR="002132B5" w:rsidRDefault="005C14E7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-Materials/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Supplies/</w:t>
            </w:r>
          </w:p>
          <w:p w14:paraId="511ED7FC" w14:textId="77777777" w:rsidR="002132B5" w:rsidRDefault="005C14E7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 -Equipment/Digital Programs for </w:t>
            </w:r>
          </w:p>
          <w:p w14:paraId="2750C2CE" w14:textId="77777777" w:rsidR="002132B5" w:rsidRDefault="005C14E7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school-wide events and digital </w:t>
            </w:r>
          </w:p>
          <w:p w14:paraId="604E0DA9" w14:textId="77777777" w:rsidR="002132B5" w:rsidRDefault="005C14E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connectivity with parents. </w:t>
            </w:r>
          </w:p>
          <w:p w14:paraId="2D6EE868" w14:textId="77777777" w:rsidR="002132B5" w:rsidRDefault="002132B5"/>
        </w:tc>
      </w:tr>
      <w:tr w:rsidR="002132B5" w14:paraId="03DF117E" w14:textId="77777777">
        <w:trPr>
          <w:trHeight w:val="1965"/>
          <w:jc w:val="center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529F9CD0" w14:textId="77777777" w:rsidR="002132B5" w:rsidRDefault="005C14E7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b.)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Strengthen students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as “self-directed” learners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by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incorporating formative assessment practices across all content areas. </w:t>
            </w:r>
          </w:p>
          <w:p w14:paraId="504FB0A7" w14:textId="77777777" w:rsidR="002132B5" w:rsidRDefault="002132B5"/>
          <w:p w14:paraId="1C38CF63" w14:textId="77777777" w:rsidR="002132B5" w:rsidRDefault="002132B5">
            <w:pPr>
              <w:ind w:left="720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  <w:p w14:paraId="4A78BED7" w14:textId="77777777" w:rsidR="002132B5" w:rsidRDefault="005C14E7">
            <w:pPr>
              <w:rPr>
                <w:rFonts w:ascii="Calibri" w:eastAsia="Calibri" w:hAnsi="Calibri" w:cs="Calibri"/>
                <w:b/>
                <w:color w:val="1155CC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2"/>
                <w:szCs w:val="22"/>
                <w:highlight w:val="white"/>
              </w:rPr>
              <w:t xml:space="preserve">CNA: </w:t>
            </w:r>
            <w:hyperlink r:id="rId18">
              <w:r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</w:rPr>
                <w:t>GLO's</w:t>
              </w:r>
            </w:hyperlink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153E0896" w14:textId="77777777" w:rsidR="002132B5" w:rsidRDefault="005C14E7"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Increase by 10% of students who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recieve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 “Always” or “Usually” for component of Self-Directed Learners.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07DC2B1A" w14:textId="77777777" w:rsidR="002132B5" w:rsidRDefault="005C14E7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following data will be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monitored for continued improvement: </w:t>
            </w:r>
          </w:p>
          <w:p w14:paraId="246E384C" w14:textId="77777777" w:rsidR="002132B5" w:rsidRDefault="005C14E7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Lessons on self-control </w:t>
            </w:r>
          </w:p>
          <w:p w14:paraId="337289C3" w14:textId="77777777" w:rsidR="002132B5" w:rsidRDefault="005C14E7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Student self-assessment of learning behavior.</w:t>
            </w:r>
          </w:p>
          <w:p w14:paraId="4C1BC2A0" w14:textId="77777777" w:rsidR="002132B5" w:rsidRDefault="005C14E7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General Learner Outcomes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60064439" w14:textId="77777777" w:rsidR="002132B5" w:rsidRDefault="005C14E7"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u w:val="single"/>
              </w:rPr>
              <w:t>Funding Source: WSF</w:t>
            </w:r>
          </w:p>
          <w:p w14:paraId="6B741F36" w14:textId="77777777" w:rsidR="002132B5" w:rsidRDefault="005C14E7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-Counselor </w:t>
            </w:r>
          </w:p>
          <w:p w14:paraId="60DE5905" w14:textId="77777777" w:rsidR="002132B5" w:rsidRDefault="002132B5"/>
          <w:p w14:paraId="4D09FF24" w14:textId="77777777" w:rsidR="002132B5" w:rsidRDefault="005C14E7"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u w:val="single"/>
              </w:rPr>
              <w:t>Funding Source: Title One</w:t>
            </w:r>
          </w:p>
          <w:p w14:paraId="138DD841" w14:textId="77777777" w:rsidR="002132B5" w:rsidRDefault="005C14E7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Social Story Books</w:t>
            </w:r>
          </w:p>
          <w:p w14:paraId="43ADF6BA" w14:textId="77777777" w:rsidR="002132B5" w:rsidRDefault="005C14E7">
            <w:pPr>
              <w:numPr>
                <w:ilvl w:val="0"/>
                <w:numId w:val="13"/>
              </w:numPr>
            </w:pPr>
            <w:hyperlink r:id="rId19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Panorama Playbook</w:t>
              </w:r>
            </w:hyperlink>
          </w:p>
        </w:tc>
      </w:tr>
      <w:tr w:rsidR="002132B5" w14:paraId="5D8C09C4" w14:textId="77777777">
        <w:trPr>
          <w:trHeight w:val="1140"/>
          <w:jc w:val="center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1FAED309" w14:textId="77777777" w:rsidR="002132B5" w:rsidRDefault="005C14E7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c. Utilize our current structures and practices to implement a </w:t>
            </w:r>
            <w:hyperlink r:id="rId20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highlight w:val="white"/>
                </w:rPr>
                <w:t>multi-tiered system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that </w:t>
            </w:r>
            <w:r>
              <w:rPr>
                <w:rFonts w:ascii="Calibri" w:eastAsia="Calibri" w:hAnsi="Calibri" w:cs="Calibri"/>
                <w:color w:val="333333"/>
                <w:sz w:val="22"/>
                <w:szCs w:val="22"/>
                <w:highlight w:val="white"/>
              </w:rPr>
              <w:t>identify struggling students e</w:t>
            </w:r>
            <w:r>
              <w:rPr>
                <w:rFonts w:ascii="Calibri" w:eastAsia="Calibri" w:hAnsi="Calibri" w:cs="Calibri"/>
                <w:color w:val="333333"/>
                <w:sz w:val="22"/>
                <w:szCs w:val="22"/>
                <w:highlight w:val="white"/>
              </w:rPr>
              <w:t>arly so that they may receive assistance quickly.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10E2C5F5" w14:textId="77777777" w:rsidR="002132B5" w:rsidRDefault="005C14E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Eliminate special education referrals for students in grades 3-6*. </w:t>
            </w:r>
          </w:p>
          <w:p w14:paraId="66D0F8A1" w14:textId="77777777" w:rsidR="002132B5" w:rsidRDefault="005C14E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*students who have been at </w:t>
            </w:r>
            <w:r w:rsidR="005E1CCF">
              <w:rPr>
                <w:rFonts w:ascii="Calibri" w:eastAsia="Calibri" w:hAnsi="Calibri" w:cs="Calibri"/>
                <w:sz w:val="22"/>
                <w:szCs w:val="22"/>
              </w:rPr>
              <w:t>our school for 2 or more years.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9DF3444" w14:textId="77777777" w:rsidR="002132B5" w:rsidRDefault="005C14E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Documentation of student team meetings that collaboratively develop a plan of action to support struggling students. 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02E5179B" w14:textId="77777777" w:rsidR="002132B5" w:rsidRDefault="005C14E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Funding Source: Title One</w:t>
            </w:r>
          </w:p>
          <w:p w14:paraId="29C75560" w14:textId="77777777" w:rsidR="002132B5" w:rsidRDefault="005C14E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Subs for teacher meeting time.</w:t>
            </w:r>
          </w:p>
          <w:p w14:paraId="5F2302F7" w14:textId="77777777" w:rsidR="002132B5" w:rsidRDefault="005C14E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PPE/PTT for instructional support</w:t>
            </w:r>
          </w:p>
          <w:p w14:paraId="5D35AC53" w14:textId="77777777" w:rsidR="002132B5" w:rsidRDefault="005C14E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Reading Intervention Program</w:t>
            </w:r>
          </w:p>
          <w:p w14:paraId="6F20C9E3" w14:textId="77777777" w:rsidR="002132B5" w:rsidRDefault="005C14E7"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</w:p>
          <w:p w14:paraId="57EDEC38" w14:textId="77777777" w:rsidR="002132B5" w:rsidRDefault="002132B5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</w:pPr>
          </w:p>
        </w:tc>
      </w:tr>
    </w:tbl>
    <w:p w14:paraId="605F93D8" w14:textId="77777777" w:rsidR="002132B5" w:rsidRDefault="002132B5"/>
    <w:p w14:paraId="4DB7B809" w14:textId="77777777" w:rsidR="002132B5" w:rsidRDefault="002132B5"/>
    <w:p w14:paraId="1C1C00B2" w14:textId="77777777" w:rsidR="002132B5" w:rsidRDefault="002132B5"/>
    <w:p w14:paraId="795374D1" w14:textId="77777777" w:rsidR="002132B5" w:rsidRDefault="002132B5"/>
    <w:p w14:paraId="11B5730F" w14:textId="77777777" w:rsidR="002132B5" w:rsidRDefault="005C14E7">
      <w:pPr>
        <w:ind w:left="720"/>
        <w:rPr>
          <w:rFonts w:ascii="-webkit-standard" w:eastAsia="-webkit-standard" w:hAnsi="-webkit-standard" w:cs="-webkit-standard"/>
          <w:color w:val="000000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Goal 2: 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Improve Teacher Efficacy</w:t>
      </w:r>
    </w:p>
    <w:p w14:paraId="790BC71C" w14:textId="77777777" w:rsidR="002132B5" w:rsidRDefault="005C14E7">
      <w:pPr>
        <w:ind w:left="720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  <w:b/>
          <w:color w:val="1155CC"/>
          <w:sz w:val="22"/>
          <w:szCs w:val="22"/>
        </w:rPr>
        <w:t>School Data:  </w:t>
      </w:r>
      <w:hyperlink r:id="rId21">
        <w:r>
          <w:rPr>
            <w:rFonts w:ascii="Calibri" w:eastAsia="Calibri" w:hAnsi="Calibri" w:cs="Calibri"/>
            <w:b/>
            <w:color w:val="1155CC"/>
            <w:sz w:val="22"/>
            <w:szCs w:val="22"/>
          </w:rPr>
          <w:t>WASC Priorities</w:t>
        </w:r>
      </w:hyperlink>
      <w:r>
        <w:rPr>
          <w:rFonts w:ascii="Calibri" w:eastAsia="Calibri" w:hAnsi="Calibri" w:cs="Calibri"/>
          <w:b/>
          <w:color w:val="1155CC"/>
          <w:sz w:val="22"/>
          <w:szCs w:val="22"/>
        </w:rPr>
        <w:t xml:space="preserve">    </w:t>
      </w:r>
      <w:hyperlink r:id="rId22">
        <w:r>
          <w:rPr>
            <w:rFonts w:ascii="Calibri" w:eastAsia="Calibri" w:hAnsi="Calibri" w:cs="Calibri"/>
            <w:b/>
            <w:color w:val="1155CC"/>
            <w:sz w:val="22"/>
            <w:szCs w:val="22"/>
          </w:rPr>
          <w:t>CNA</w:t>
        </w:r>
      </w:hyperlink>
    </w:p>
    <w:p w14:paraId="53E27402" w14:textId="77777777" w:rsidR="002132B5" w:rsidRDefault="002132B5">
      <w:pPr>
        <w:rPr>
          <w:rFonts w:ascii="-webkit-standard" w:eastAsia="-webkit-standard" w:hAnsi="-webkit-standard" w:cs="-webkit-standard"/>
          <w:color w:val="000000"/>
        </w:rPr>
      </w:pPr>
    </w:p>
    <w:tbl>
      <w:tblPr>
        <w:tblStyle w:val="a2"/>
        <w:tblW w:w="16248" w:type="dxa"/>
        <w:jc w:val="center"/>
        <w:tblLayout w:type="fixed"/>
        <w:tblLook w:val="0400" w:firstRow="0" w:lastRow="0" w:firstColumn="0" w:lastColumn="0" w:noHBand="0" w:noVBand="1"/>
      </w:tblPr>
      <w:tblGrid>
        <w:gridCol w:w="4155"/>
        <w:gridCol w:w="4155"/>
        <w:gridCol w:w="3398"/>
        <w:gridCol w:w="4540"/>
      </w:tblGrid>
      <w:tr w:rsidR="002132B5" w14:paraId="24B26A30" w14:textId="77777777">
        <w:trPr>
          <w:trHeight w:val="540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31894DDD" w14:textId="77777777" w:rsidR="002132B5" w:rsidRDefault="005C14E7"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Actions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B7CE8A7" w14:textId="77777777" w:rsidR="002132B5" w:rsidRDefault="005C14E7"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Goal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01F658EA" w14:textId="77777777" w:rsidR="002132B5" w:rsidRDefault="005C14E7"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Monitoring our Progress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62BDC16D" w14:textId="77777777" w:rsidR="002132B5" w:rsidRDefault="005C14E7"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Resources/Funding Source</w:t>
            </w:r>
          </w:p>
        </w:tc>
      </w:tr>
      <w:tr w:rsidR="002132B5" w14:paraId="3A2FD49F" w14:textId="77777777">
        <w:trPr>
          <w:trHeight w:val="1545"/>
          <w:jc w:val="center"/>
        </w:trPr>
        <w:tc>
          <w:tcPr>
            <w:tcW w:w="41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6BA07A05" w14:textId="77777777" w:rsidR="002132B5" w:rsidRDefault="005C14E7">
            <w:pP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 xml:space="preserve">a.)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Continue the implementation of </w:t>
            </w:r>
          </w:p>
          <w:p w14:paraId="0675EFB5" w14:textId="77777777" w:rsidR="002132B5" w:rsidRDefault="005C14E7">
            <w:pP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 xml:space="preserve">     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the cycle of Professional Teaching </w:t>
            </w:r>
          </w:p>
          <w:p w14:paraId="757996CB" w14:textId="77777777" w:rsidR="002132B5" w:rsidRDefault="005C14E7">
            <w:pP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 xml:space="preserve">     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>and Learning framework. </w:t>
            </w:r>
          </w:p>
          <w:p w14:paraId="549AD1BF" w14:textId="77777777" w:rsidR="002132B5" w:rsidRDefault="005C14E7">
            <w:pPr>
              <w:rPr>
                <w:rFonts w:ascii="Calibri" w:eastAsia="Calibri" w:hAnsi="Calibri" w:cs="Calibri"/>
                <w:color w:val="1155CC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     </w:t>
            </w:r>
            <w:hyperlink r:id="rId23">
              <w:r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</w:rPr>
                <w:t>CNA</w:t>
              </w:r>
            </w:hyperlink>
            <w:r>
              <w:rPr>
                <w:rFonts w:ascii="Calibri" w:eastAsia="Calibri" w:hAnsi="Calibri" w:cs="Calibri"/>
                <w:color w:val="1155CC"/>
                <w:sz w:val="22"/>
                <w:szCs w:val="22"/>
                <w:highlight w:val="white"/>
              </w:rPr>
              <w:t xml:space="preserve"> pg. 20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526D6AB8" w14:textId="77777777" w:rsidR="002132B5" w:rsidRDefault="005C14E7">
            <w:p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All teachers are implementing the Powerful Instructional Practice (PIP) as measured by walk-thru data.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4AA408FB" w14:textId="77777777" w:rsidR="002132B5" w:rsidRDefault="005C14E7">
            <w:p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Documentation of the following: </w:t>
            </w:r>
          </w:p>
          <w:p w14:paraId="11F973DB" w14:textId="77777777" w:rsidR="002132B5" w:rsidRDefault="005C14E7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>Professional Development</w:t>
            </w:r>
          </w:p>
          <w:p w14:paraId="29DE56E7" w14:textId="77777777" w:rsidR="002132B5" w:rsidRDefault="005C14E7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>Professional Reading</w:t>
            </w:r>
          </w:p>
          <w:p w14:paraId="51B89430" w14:textId="77777777" w:rsidR="002132B5" w:rsidRDefault="005C14E7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>Peer Observations</w:t>
            </w:r>
          </w:p>
          <w:p w14:paraId="3119DF16" w14:textId="77777777" w:rsidR="002132B5" w:rsidRDefault="005C14E7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>Collaboration Opportunities</w:t>
            </w:r>
          </w:p>
        </w:tc>
        <w:tc>
          <w:tcPr>
            <w:tcW w:w="454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48902D2D" w14:textId="77777777" w:rsidR="002132B5" w:rsidRDefault="005C14E7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u w:val="single"/>
              </w:rPr>
              <w:t>Funding Source: Title One</w:t>
            </w:r>
          </w:p>
          <w:p w14:paraId="5E21FD8C" w14:textId="77777777" w:rsidR="002132B5" w:rsidRDefault="005C14E7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-PTT and Sub pay for </w:t>
            </w:r>
          </w:p>
          <w:p w14:paraId="5908DAC5" w14:textId="77777777" w:rsidR="002132B5" w:rsidRDefault="005C14E7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ILT planning.</w:t>
            </w:r>
          </w:p>
          <w:p w14:paraId="43BD9B85" w14:textId="77777777" w:rsidR="005E1CCF" w:rsidRPr="005E1CCF" w:rsidRDefault="005C14E7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Teacher planning</w:t>
            </w:r>
          </w:p>
          <w:p w14:paraId="5C0422FE" w14:textId="77777777" w:rsidR="002132B5" w:rsidRDefault="005E1CCF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Professional Development</w:t>
            </w:r>
            <w:r w:rsidR="005C14E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25BF56C6" w14:textId="77777777" w:rsidR="002132B5" w:rsidRDefault="002132B5">
            <w:pPr>
              <w:rPr>
                <w:color w:val="000000"/>
              </w:rPr>
            </w:pPr>
          </w:p>
          <w:p w14:paraId="38709E01" w14:textId="77777777" w:rsidR="002132B5" w:rsidRDefault="005C14E7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-Stipends for PD</w:t>
            </w:r>
          </w:p>
          <w:p w14:paraId="536A6F6B" w14:textId="77777777" w:rsidR="002132B5" w:rsidRDefault="002132B5">
            <w:pPr>
              <w:rPr>
                <w:color w:val="000000"/>
              </w:rPr>
            </w:pPr>
          </w:p>
          <w:p w14:paraId="35413AA8" w14:textId="77777777" w:rsidR="002132B5" w:rsidRDefault="005C14E7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-Professional Literature</w:t>
            </w:r>
          </w:p>
          <w:p w14:paraId="22741041" w14:textId="77777777" w:rsidR="002132B5" w:rsidRDefault="002132B5">
            <w:pPr>
              <w:rPr>
                <w:color w:val="000000"/>
              </w:rPr>
            </w:pPr>
          </w:p>
          <w:p w14:paraId="59A0638E" w14:textId="77777777" w:rsidR="002132B5" w:rsidRDefault="005C14E7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-Digital Programs</w:t>
            </w:r>
          </w:p>
          <w:p w14:paraId="79182589" w14:textId="77777777" w:rsidR="002132B5" w:rsidRDefault="002132B5">
            <w:pPr>
              <w:rPr>
                <w:color w:val="000000"/>
              </w:rPr>
            </w:pPr>
          </w:p>
          <w:p w14:paraId="2E64E8A4" w14:textId="77777777" w:rsidR="002132B5" w:rsidRDefault="005C14E7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-Supplies/Materials/</w:t>
            </w:r>
          </w:p>
          <w:p w14:paraId="703D9665" w14:textId="77777777" w:rsidR="002132B5" w:rsidRDefault="005C14E7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Equipment needed to implement:</w:t>
            </w:r>
          </w:p>
          <w:p w14:paraId="05BF9116" w14:textId="77777777" w:rsidR="002132B5" w:rsidRDefault="005C14E7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Cycle of Prof. learning.</w:t>
            </w:r>
          </w:p>
          <w:p w14:paraId="212DBE27" w14:textId="77777777" w:rsidR="002132B5" w:rsidRDefault="005C14E7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Curriculum Maps</w:t>
            </w:r>
          </w:p>
          <w:p w14:paraId="72E4AABE" w14:textId="77777777" w:rsidR="002132B5" w:rsidRDefault="005C14E7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Core Curriculum</w:t>
            </w:r>
          </w:p>
          <w:p w14:paraId="49772D4A" w14:textId="77777777" w:rsidR="002132B5" w:rsidRDefault="002132B5">
            <w:pPr>
              <w:rPr>
                <w:color w:val="000000"/>
              </w:rPr>
            </w:pPr>
          </w:p>
          <w:p w14:paraId="7C1149DE" w14:textId="77777777" w:rsidR="002132B5" w:rsidRDefault="005C14E7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u w:val="single"/>
              </w:rPr>
              <w:t>Funding Source: District Funds</w:t>
            </w:r>
          </w:p>
          <w:p w14:paraId="3E4BCF9F" w14:textId="77777777" w:rsidR="002132B5" w:rsidRDefault="005C14E7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-District Educational Specialist to provide PD in development of curriculum maps &amp; implementatio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 of PIP.</w:t>
            </w:r>
          </w:p>
          <w:p w14:paraId="7D68D7E8" w14:textId="77777777" w:rsidR="002132B5" w:rsidRDefault="002132B5">
            <w:pPr>
              <w:spacing w:after="240"/>
              <w:rPr>
                <w:color w:val="000000"/>
              </w:rPr>
            </w:pPr>
          </w:p>
        </w:tc>
      </w:tr>
      <w:tr w:rsidR="002132B5" w14:paraId="2FD0A414" w14:textId="77777777">
        <w:trPr>
          <w:trHeight w:val="1530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57FC9C9F" w14:textId="77777777" w:rsidR="002132B5" w:rsidRDefault="005C14E7">
            <w:pPr>
              <w:spacing w:before="163"/>
              <w:ind w:right="403"/>
              <w:rPr>
                <w:color w:val="00000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b.)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Develop curriculum maps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and                  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    guides for Math and Science. </w:t>
            </w:r>
          </w:p>
          <w:p w14:paraId="111156D5" w14:textId="77777777" w:rsidR="002132B5" w:rsidRDefault="005C14E7">
            <w:pPr>
              <w:spacing w:before="163"/>
              <w:ind w:right="403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Revisit our ELA maps for clarification and possible revisions. </w:t>
            </w:r>
          </w:p>
          <w:p w14:paraId="613CDF67" w14:textId="77777777" w:rsidR="002132B5" w:rsidRDefault="005C14E7">
            <w:pPr>
              <w:rPr>
                <w:rFonts w:ascii="Calibri" w:eastAsia="Calibri" w:hAnsi="Calibri" w:cs="Calibri"/>
                <w:color w:val="1155CC"/>
                <w:sz w:val="22"/>
                <w:szCs w:val="22"/>
              </w:rPr>
            </w:pPr>
            <w:hyperlink r:id="rId24">
              <w:r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</w:rPr>
                <w:t>WASC Priorities</w:t>
              </w:r>
            </w:hyperlink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7534AD5" w14:textId="77777777" w:rsidR="002132B5" w:rsidRDefault="005C14E7">
            <w:p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All teachers will have developed curriculum maps for 3 /4 core content areas by the end of SY 21-22: ELA, Math and Science. 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516AB41B" w14:textId="77777777" w:rsidR="002132B5" w:rsidRDefault="005C14E7">
            <w:p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ocumented Curriculum Maps and guides:</w:t>
            </w:r>
          </w:p>
          <w:p w14:paraId="058C4ADA" w14:textId="77777777" w:rsidR="002132B5" w:rsidRDefault="005C14E7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End of Q1: Review of ELA Maps developed in SY 1920</w:t>
            </w:r>
          </w:p>
          <w:p w14:paraId="722034E8" w14:textId="77777777" w:rsidR="002132B5" w:rsidRDefault="005C14E7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End of S1: Math</w:t>
            </w:r>
          </w:p>
          <w:p w14:paraId="589A8C76" w14:textId="77777777" w:rsidR="002132B5" w:rsidRDefault="005C14E7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End of S2: Science</w:t>
            </w:r>
          </w:p>
          <w:p w14:paraId="3C0B5F29" w14:textId="77777777" w:rsidR="002132B5" w:rsidRDefault="005C14E7">
            <w:pPr>
              <w:ind w:left="720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 </w:t>
            </w:r>
          </w:p>
        </w:tc>
        <w:tc>
          <w:tcPr>
            <w:tcW w:w="454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1B4E8F00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132B5" w14:paraId="16313F31" w14:textId="77777777">
        <w:trPr>
          <w:trHeight w:val="1590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2336C21" w14:textId="77777777" w:rsidR="002132B5" w:rsidRDefault="005C14E7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c.)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Provide training in the development of curriculum maps and guides.</w:t>
            </w:r>
          </w:p>
          <w:p w14:paraId="39C8182A" w14:textId="77777777" w:rsidR="002132B5" w:rsidRDefault="005C14E7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hyperlink r:id="rId25">
              <w:r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</w:rPr>
                <w:t>WASC Priorities</w:t>
              </w:r>
            </w:hyperlink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  <w:p w14:paraId="4C53C592" w14:textId="77777777" w:rsidR="002132B5" w:rsidRDefault="002132B5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44CF425D" w14:textId="77777777" w:rsidR="002132B5" w:rsidRDefault="005C14E7">
            <w:p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Professional development provided for the development of all core curriculum maps and guides. 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5E31B8D5" w14:textId="77777777" w:rsidR="002132B5" w:rsidRDefault="005C14E7">
            <w:p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Documented training provided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by district educational specialist:</w:t>
            </w:r>
          </w:p>
          <w:p w14:paraId="348CB56C" w14:textId="77777777" w:rsidR="002132B5" w:rsidRDefault="005C14E7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End of S1: Math </w:t>
            </w:r>
          </w:p>
          <w:p w14:paraId="1518B53F" w14:textId="77777777" w:rsidR="002132B5" w:rsidRDefault="005C14E7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End of S2: Science.</w:t>
            </w:r>
          </w:p>
        </w:tc>
        <w:tc>
          <w:tcPr>
            <w:tcW w:w="454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6FEDF086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14:paraId="7A51EDAD" w14:textId="77777777" w:rsidR="002132B5" w:rsidRDefault="002132B5">
      <w:pPr>
        <w:rPr>
          <w:rFonts w:ascii="-webkit-standard" w:eastAsia="-webkit-standard" w:hAnsi="-webkit-standard" w:cs="-webkit-standard"/>
          <w:color w:val="000000"/>
        </w:rPr>
      </w:pPr>
    </w:p>
    <w:p w14:paraId="3417EC80" w14:textId="77777777" w:rsidR="002132B5" w:rsidRDefault="002132B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6"/>
          <w:szCs w:val="36"/>
        </w:rPr>
      </w:pPr>
    </w:p>
    <w:p w14:paraId="14D8BEA6" w14:textId="77777777" w:rsidR="002132B5" w:rsidRDefault="002132B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6"/>
          <w:szCs w:val="36"/>
        </w:rPr>
      </w:pPr>
    </w:p>
    <w:p w14:paraId="5A16991B" w14:textId="77777777" w:rsidR="002132B5" w:rsidRDefault="002132B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6"/>
          <w:szCs w:val="36"/>
        </w:rPr>
      </w:pPr>
    </w:p>
    <w:p w14:paraId="2FFC807E" w14:textId="77777777" w:rsidR="002132B5" w:rsidRDefault="002132B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6"/>
          <w:szCs w:val="36"/>
        </w:rPr>
      </w:pPr>
    </w:p>
    <w:p w14:paraId="04DA39E5" w14:textId="77777777" w:rsidR="002132B5" w:rsidRDefault="002132B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36"/>
          <w:szCs w:val="36"/>
        </w:rPr>
      </w:pPr>
    </w:p>
    <w:p w14:paraId="42EBAAAE" w14:textId="77777777" w:rsidR="002132B5" w:rsidRDefault="005C14E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-webkit-standard" w:eastAsia="-webkit-standard" w:hAnsi="-webkit-standard" w:cs="-webkit-standard"/>
          <w:color w:val="000000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Goal 3: 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Improve Student Learning</w:t>
      </w:r>
    </w:p>
    <w:p w14:paraId="65FFC0A8" w14:textId="77777777" w:rsidR="002132B5" w:rsidRDefault="005C14E7">
      <w:pPr>
        <w:ind w:left="720"/>
        <w:rPr>
          <w:rFonts w:ascii="-webkit-standard" w:eastAsia="-webkit-standard" w:hAnsi="-webkit-standard" w:cs="-webkit-standard"/>
          <w:color w:val="000000"/>
        </w:rPr>
      </w:pPr>
      <w:r>
        <w:rPr>
          <w:rFonts w:ascii="Calibri" w:eastAsia="Calibri" w:hAnsi="Calibri" w:cs="Calibri"/>
          <w:b/>
          <w:color w:val="1155CC"/>
          <w:sz w:val="22"/>
          <w:szCs w:val="22"/>
        </w:rPr>
        <w:t>School Data:</w:t>
      </w:r>
      <w:r>
        <w:rPr>
          <w:rFonts w:ascii="-webkit-standard" w:eastAsia="-webkit-standard" w:hAnsi="-webkit-standard" w:cs="-webkit-standard"/>
          <w:b/>
          <w:color w:val="1155CC"/>
        </w:rPr>
        <w:t xml:space="preserve"> </w:t>
      </w:r>
      <w:hyperlink r:id="rId26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Academic Performance Summary</w:t>
        </w:r>
      </w:hyperlink>
      <w:r>
        <w:rPr>
          <w:rFonts w:ascii="Calibri" w:eastAsia="Calibri" w:hAnsi="Calibri" w:cs="Calibri"/>
          <w:color w:val="1155CC"/>
          <w:sz w:val="22"/>
          <w:szCs w:val="22"/>
        </w:rPr>
        <w:t xml:space="preserve">     </w:t>
      </w:r>
      <w:hyperlink r:id="rId27">
        <w:r>
          <w:rPr>
            <w:rFonts w:ascii="Calibri" w:eastAsia="Calibri" w:hAnsi="Calibri" w:cs="Calibri"/>
            <w:b/>
            <w:color w:val="1155CC"/>
            <w:sz w:val="22"/>
            <w:szCs w:val="22"/>
          </w:rPr>
          <w:t>EL WIDA SCORES</w:t>
        </w:r>
      </w:hyperlink>
      <w:r>
        <w:rPr>
          <w:rFonts w:ascii="Calibri" w:eastAsia="Calibri" w:hAnsi="Calibri" w:cs="Calibri"/>
          <w:color w:val="1155CC"/>
          <w:sz w:val="22"/>
          <w:szCs w:val="22"/>
        </w:rPr>
        <w:t xml:space="preserve">   </w:t>
      </w:r>
      <w:hyperlink r:id="rId28">
        <w:r>
          <w:rPr>
            <w:rFonts w:ascii="Calibri" w:eastAsia="Calibri" w:hAnsi="Calibri" w:cs="Calibri"/>
            <w:b/>
            <w:color w:val="1155CC"/>
            <w:sz w:val="22"/>
            <w:szCs w:val="22"/>
          </w:rPr>
          <w:t>CURRENT BAS data</w:t>
        </w:r>
      </w:hyperlink>
      <w:r>
        <w:rPr>
          <w:rFonts w:ascii="Calibri" w:eastAsia="Calibri" w:hAnsi="Calibri" w:cs="Calibri"/>
          <w:color w:val="1155CC"/>
          <w:sz w:val="22"/>
          <w:szCs w:val="22"/>
        </w:rPr>
        <w:t xml:space="preserve">  </w:t>
      </w:r>
      <w:r>
        <w:rPr>
          <w:rFonts w:ascii="Calibri" w:eastAsia="Calibri" w:hAnsi="Calibri" w:cs="Calibri"/>
          <w:b/>
          <w:color w:val="1155CC"/>
          <w:sz w:val="22"/>
          <w:szCs w:val="22"/>
        </w:rPr>
        <w:t> </w:t>
      </w:r>
      <w:hyperlink r:id="rId29">
        <w:r>
          <w:rPr>
            <w:rFonts w:ascii="Calibri" w:eastAsia="Calibri" w:hAnsi="Calibri" w:cs="Calibri"/>
            <w:b/>
            <w:color w:val="1155CC"/>
            <w:sz w:val="22"/>
            <w:szCs w:val="22"/>
          </w:rPr>
          <w:t>CNA</w:t>
        </w:r>
      </w:hyperlink>
    </w:p>
    <w:tbl>
      <w:tblPr>
        <w:tblStyle w:val="a3"/>
        <w:tblW w:w="15830" w:type="dxa"/>
        <w:jc w:val="center"/>
        <w:tblLayout w:type="fixed"/>
        <w:tblLook w:val="0400" w:firstRow="0" w:lastRow="0" w:firstColumn="0" w:lastColumn="0" w:noHBand="0" w:noVBand="1"/>
      </w:tblPr>
      <w:tblGrid>
        <w:gridCol w:w="5432"/>
        <w:gridCol w:w="4208"/>
        <w:gridCol w:w="3240"/>
        <w:gridCol w:w="2950"/>
      </w:tblGrid>
      <w:tr w:rsidR="002132B5" w14:paraId="29D8D4A1" w14:textId="77777777">
        <w:trPr>
          <w:trHeight w:val="630"/>
          <w:jc w:val="center"/>
        </w:trPr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1F8ED901" w14:textId="77777777" w:rsidR="002132B5" w:rsidRDefault="005C14E7"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Actions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4627CB63" w14:textId="77777777" w:rsidR="002132B5" w:rsidRDefault="005C14E7"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Goal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FB26E80" w14:textId="77777777" w:rsidR="002132B5" w:rsidRDefault="005C14E7"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Monitoring our Progress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B462706" w14:textId="77777777" w:rsidR="002132B5" w:rsidRDefault="005C14E7">
            <w:pP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>Resources/</w:t>
            </w:r>
          </w:p>
          <w:p w14:paraId="4D53FB34" w14:textId="77777777" w:rsidR="002132B5" w:rsidRDefault="005C14E7"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>Funding Source</w:t>
            </w:r>
          </w:p>
        </w:tc>
      </w:tr>
      <w:tr w:rsidR="002132B5" w14:paraId="5641ED8B" w14:textId="77777777">
        <w:trPr>
          <w:trHeight w:val="744"/>
          <w:jc w:val="center"/>
        </w:trPr>
        <w:tc>
          <w:tcPr>
            <w:tcW w:w="543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E61FD0D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C3C41"/>
                <w:sz w:val="20"/>
                <w:szCs w:val="20"/>
                <w:highlight w:val="white"/>
              </w:rPr>
            </w:pPr>
            <w:r>
              <w:rPr>
                <w:color w:val="3C3C41"/>
                <w:sz w:val="20"/>
                <w:szCs w:val="20"/>
                <w:highlight w:val="white"/>
              </w:rPr>
              <w:t xml:space="preserve">a.) </w:t>
            </w:r>
            <w:r>
              <w:rPr>
                <w:color w:val="3C3C41"/>
                <w:sz w:val="20"/>
                <w:szCs w:val="20"/>
                <w:highlight w:val="white"/>
              </w:rPr>
              <w:t>Continue implementing the workshop</w:t>
            </w:r>
            <w:r>
              <w:rPr>
                <w:b/>
                <w:color w:val="3C3C41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3C3C41"/>
                <w:sz w:val="20"/>
                <w:szCs w:val="20"/>
                <w:highlight w:val="white"/>
              </w:rPr>
              <w:t>framework and the</w:t>
            </w:r>
          </w:p>
          <w:p w14:paraId="1035D064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3C3C41"/>
                <w:sz w:val="20"/>
                <w:szCs w:val="20"/>
                <w:highlight w:val="white"/>
              </w:rPr>
              <w:t xml:space="preserve"> Lucy Calkins Units of Study.</w:t>
            </w:r>
          </w:p>
        </w:tc>
        <w:tc>
          <w:tcPr>
            <w:tcW w:w="420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B8838C2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hyperlink r:id="rId30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SBA measures for ELA and Math</w:t>
              </w:r>
            </w:hyperlink>
          </w:p>
          <w:p w14:paraId="33F65FAA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  -Whole School: Increase proficiency by </w:t>
            </w:r>
          </w:p>
          <w:p w14:paraId="0DC0D9E6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   20% in Math and ELA.</w:t>
            </w:r>
          </w:p>
          <w:p w14:paraId="3A73F790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14:paraId="0DED3332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2.) MGP for Math &amp; ELA</w:t>
            </w:r>
          </w:p>
          <w:p w14:paraId="5FD1BD82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- Economically Disadvantaged: 5% increase </w:t>
            </w:r>
          </w:p>
          <w:p w14:paraId="0C6014D9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in students who receive a 50 or above MGP    </w:t>
            </w:r>
          </w:p>
          <w:p w14:paraId="5D0C7C88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score. (Goal: Math 55% /ELA 62%)</w:t>
            </w:r>
          </w:p>
          <w:p w14:paraId="431253FC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- Sped Students: At least 50% of the students </w:t>
            </w:r>
          </w:p>
          <w:p w14:paraId="312CB793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have a MGP score of 50 or greater. </w:t>
            </w:r>
          </w:p>
          <w:p w14:paraId="1B8B51C1" w14:textId="77777777" w:rsidR="002132B5" w:rsidRDefault="002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ACC1A4D" w14:textId="77777777" w:rsidR="002132B5" w:rsidRDefault="002132B5">
            <w:pPr>
              <w:rPr>
                <w:color w:val="000000"/>
                <w:u w:val="single"/>
              </w:rPr>
            </w:pPr>
          </w:p>
          <w:p w14:paraId="1319D6DD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.)  </w:t>
            </w:r>
            <w:hyperlink r:id="rId31">
              <w:proofErr w:type="spellStart"/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</w:rPr>
                <w:t>Wida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</w:rPr>
                <w:t xml:space="preserve"> Measures</w:t>
              </w:r>
            </w:hyperlink>
          </w:p>
          <w:p w14:paraId="61549C6C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  -Increase of 10% of EL students</w:t>
            </w:r>
          </w:p>
          <w:p w14:paraId="0601C7A9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   who make an increase in their overall score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0D554B81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1 level (goal 53%) </w:t>
            </w:r>
          </w:p>
          <w:p w14:paraId="1C3E54AE" w14:textId="77777777" w:rsidR="002132B5" w:rsidRDefault="005C14E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1E434F42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*Identified Sub Groups: EL, SPED,</w:t>
            </w:r>
          </w:p>
          <w:p w14:paraId="17446BB9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 Economically Disadvantaged</w:t>
            </w:r>
          </w:p>
          <w:p w14:paraId="36E55C65" w14:textId="77777777" w:rsidR="002132B5" w:rsidRDefault="002132B5"/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18164D69" w14:textId="77777777" w:rsidR="002132B5" w:rsidRDefault="002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3C3C41"/>
                <w:sz w:val="20"/>
                <w:szCs w:val="20"/>
                <w:highlight w:val="white"/>
              </w:rPr>
            </w:pPr>
          </w:p>
          <w:p w14:paraId="2AA469E5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3C3C41"/>
                <w:sz w:val="20"/>
                <w:szCs w:val="20"/>
                <w:highlight w:val="white"/>
              </w:rPr>
              <w:t>1.) Walk thru data reflects: </w:t>
            </w:r>
          </w:p>
          <w:p w14:paraId="007F4B3D" w14:textId="77777777" w:rsidR="002132B5" w:rsidRDefault="002132B5"/>
          <w:p w14:paraId="2E761CDB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3C3C41"/>
                <w:sz w:val="20"/>
                <w:szCs w:val="20"/>
                <w:highlight w:val="white"/>
              </w:rPr>
              <w:t xml:space="preserve">     -Students working on </w:t>
            </w:r>
            <w:proofErr w:type="gramStart"/>
            <w:r>
              <w:rPr>
                <w:rFonts w:ascii="Cambria" w:eastAsia="Cambria" w:hAnsi="Cambria" w:cs="Cambria"/>
                <w:color w:val="3C3C41"/>
                <w:sz w:val="20"/>
                <w:szCs w:val="20"/>
                <w:highlight w:val="white"/>
              </w:rPr>
              <w:t>their</w:t>
            </w:r>
            <w:proofErr w:type="gramEnd"/>
          </w:p>
          <w:p w14:paraId="043DD228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3C3C41"/>
                <w:sz w:val="20"/>
                <w:szCs w:val="20"/>
                <w:highlight w:val="white"/>
              </w:rPr>
              <w:t>       individualized level</w:t>
            </w:r>
          </w:p>
          <w:p w14:paraId="52B40A48" w14:textId="77777777" w:rsidR="002132B5" w:rsidRDefault="002132B5"/>
          <w:p w14:paraId="5FFB41C3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3C3C41"/>
                <w:sz w:val="20"/>
                <w:szCs w:val="20"/>
                <w:highlight w:val="white"/>
              </w:rPr>
              <w:t>     -Collaborative conversations</w:t>
            </w:r>
          </w:p>
          <w:p w14:paraId="4516B0A7" w14:textId="77777777" w:rsidR="002132B5" w:rsidRDefault="002132B5"/>
          <w:p w14:paraId="1283D634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3C3C41"/>
                <w:sz w:val="20"/>
                <w:szCs w:val="20"/>
                <w:highlight w:val="white"/>
              </w:rPr>
              <w:t>     -Conferencing</w:t>
            </w:r>
          </w:p>
          <w:p w14:paraId="66BD5311" w14:textId="77777777" w:rsidR="002132B5" w:rsidRDefault="002132B5"/>
          <w:p w14:paraId="0828ACA3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3C3C41"/>
                <w:sz w:val="20"/>
                <w:szCs w:val="20"/>
                <w:highlight w:val="white"/>
              </w:rPr>
              <w:t>     -Independent reading practices </w:t>
            </w:r>
          </w:p>
          <w:p w14:paraId="1B73AD8D" w14:textId="77777777" w:rsidR="002132B5" w:rsidRDefault="002132B5"/>
          <w:p w14:paraId="3FD5C6E0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2.) The following data will be monitored for continued improvement: </w:t>
            </w:r>
          </w:p>
          <w:p w14:paraId="073B5240" w14:textId="77777777" w:rsidR="002132B5" w:rsidRDefault="002132B5">
            <w:pPr>
              <w:rPr>
                <w:color w:val="000000"/>
              </w:rPr>
            </w:pPr>
          </w:p>
          <w:p w14:paraId="09CF10AF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  -</w:t>
            </w:r>
            <w:hyperlink r:id="rId32">
              <w:r>
                <w:rPr>
                  <w:rFonts w:ascii="Cambria" w:eastAsia="Cambria" w:hAnsi="Cambria" w:cs="Cambria"/>
                  <w:color w:val="1155CC"/>
                  <w:sz w:val="20"/>
                  <w:szCs w:val="20"/>
                  <w:u w:val="single"/>
                </w:rPr>
                <w:t>BAS</w:t>
              </w:r>
            </w:hyperlink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iReady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growth for all </w:t>
            </w:r>
          </w:p>
          <w:p w14:paraId="67BFBC39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    students and identified sub </w:t>
            </w:r>
          </w:p>
          <w:p w14:paraId="41A4CED1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 groups*. </w:t>
            </w:r>
          </w:p>
          <w:p w14:paraId="6A9F0848" w14:textId="77777777" w:rsidR="002132B5" w:rsidRDefault="002132B5">
            <w:pPr>
              <w:rPr>
                <w:color w:val="000000"/>
              </w:rPr>
            </w:pPr>
          </w:p>
          <w:p w14:paraId="720DA29F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   -GOLD assessment data for PS &amp;</w:t>
            </w:r>
          </w:p>
          <w:p w14:paraId="1024A041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   PK.</w:t>
            </w:r>
          </w:p>
          <w:p w14:paraId="6824A611" w14:textId="77777777" w:rsidR="002132B5" w:rsidRDefault="002132B5">
            <w:pPr>
              <w:rPr>
                <w:color w:val="000000"/>
              </w:rPr>
            </w:pPr>
          </w:p>
          <w:p w14:paraId="6103CCD0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  - Report card data</w:t>
            </w:r>
          </w:p>
          <w:p w14:paraId="69D54451" w14:textId="77777777" w:rsidR="002132B5" w:rsidRDefault="002132B5">
            <w:pPr>
              <w:spacing w:after="240"/>
            </w:pP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35AAC1D3" w14:textId="77777777" w:rsidR="002132B5" w:rsidRDefault="002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u w:val="single"/>
              </w:rPr>
            </w:pPr>
          </w:p>
          <w:p w14:paraId="72DA92CB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u w:val="single"/>
              </w:rPr>
              <w:t>Funding Source: Title One</w:t>
            </w:r>
          </w:p>
          <w:p w14:paraId="463E591A" w14:textId="77777777" w:rsidR="002132B5" w:rsidRDefault="002132B5"/>
          <w:p w14:paraId="60ED0EE3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-Consumable Books</w:t>
            </w:r>
          </w:p>
          <w:p w14:paraId="01610F82" w14:textId="77777777" w:rsidR="002132B5" w:rsidRDefault="002132B5"/>
          <w:p w14:paraId="039C9711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-Materials/Supplies/Equipment to implement Common Core Standards.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costs, laminating material, paper,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stickies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etc.)</w:t>
            </w:r>
          </w:p>
          <w:p w14:paraId="295C1A6E" w14:textId="77777777" w:rsidR="002132B5" w:rsidRDefault="002132B5"/>
          <w:p w14:paraId="4D6EB639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-Literature Books</w:t>
            </w:r>
          </w:p>
          <w:p w14:paraId="2B519578" w14:textId="77777777" w:rsidR="002132B5" w:rsidRDefault="002132B5"/>
          <w:p w14:paraId="73DFD5D6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-Digital Programs</w:t>
            </w:r>
          </w:p>
          <w:p w14:paraId="6D1B6A40" w14:textId="77777777" w:rsidR="002132B5" w:rsidRDefault="002132B5"/>
          <w:p w14:paraId="4FC80EA9" w14:textId="77777777" w:rsidR="005E1CCF" w:rsidRDefault="005C14E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-PPT/PTT/PPE to</w:t>
            </w:r>
            <w:r w:rsidR="005E1C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48E75B83" w14:textId="77777777" w:rsidR="005E1CCF" w:rsidRPr="005E1CCF" w:rsidRDefault="005C14E7" w:rsidP="005E1CCF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1C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support instruction</w:t>
            </w:r>
          </w:p>
          <w:p w14:paraId="6EAE7C91" w14:textId="77777777" w:rsidR="005E1CCF" w:rsidRPr="005E1CCF" w:rsidRDefault="005E1CCF" w:rsidP="005E1CCF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1C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 website</w:t>
            </w:r>
          </w:p>
          <w:p w14:paraId="36EDA78F" w14:textId="77777777" w:rsidR="002132B5" w:rsidRDefault="005E1CCF" w:rsidP="005E1CCF">
            <w:pPr>
              <w:pStyle w:val="ListParagraph"/>
              <w:numPr>
                <w:ilvl w:val="0"/>
                <w:numId w:val="18"/>
              </w:numPr>
            </w:pPr>
            <w:r w:rsidRPr="005E1C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manage </w:t>
            </w:r>
            <w:r w:rsidR="005C14E7" w:rsidRPr="005E1C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digital devices, programs, and installation of operating systems. </w:t>
            </w:r>
          </w:p>
        </w:tc>
      </w:tr>
      <w:tr w:rsidR="002132B5" w14:paraId="20CD532A" w14:textId="77777777">
        <w:trPr>
          <w:trHeight w:val="469"/>
          <w:jc w:val="center"/>
        </w:trPr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3A42CA1C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3C3C41"/>
                <w:sz w:val="20"/>
                <w:szCs w:val="20"/>
                <w:highlight w:val="white"/>
              </w:rPr>
              <w:t xml:space="preserve">b.) </w:t>
            </w:r>
            <w:r>
              <w:rPr>
                <w:color w:val="000000"/>
                <w:sz w:val="20"/>
                <w:szCs w:val="20"/>
              </w:rPr>
              <w:t>Provide access to a wide range of high quality literature* that</w:t>
            </w:r>
          </w:p>
          <w:p w14:paraId="2F505B21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meets the needs of beginning readers, as well as pique the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interest’of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our adolescent and reluctant readers.  </w:t>
            </w:r>
          </w:p>
        </w:tc>
        <w:tc>
          <w:tcPr>
            <w:tcW w:w="4208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38C4DB5A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31FE7C8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950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2A0BC690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2132B5" w14:paraId="12FFF63B" w14:textId="77777777">
        <w:trPr>
          <w:trHeight w:val="564"/>
          <w:jc w:val="center"/>
        </w:trPr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FFC255B" w14:textId="77777777" w:rsidR="002132B5" w:rsidRDefault="005C14E7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c.)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Implement formative assessment practices that personalize learning and </w:t>
            </w:r>
            <w:r>
              <w:rPr>
                <w:rFonts w:ascii="Calibri" w:eastAsia="Calibri" w:hAnsi="Calibri" w:cs="Calibri"/>
                <w:color w:val="3C3C41"/>
                <w:sz w:val="20"/>
                <w:szCs w:val="20"/>
                <w:highlight w:val="white"/>
              </w:rPr>
              <w:t>inform students of their progress in attainment towards grade level CCSS.</w:t>
            </w:r>
          </w:p>
        </w:tc>
        <w:tc>
          <w:tcPr>
            <w:tcW w:w="4208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07320F9F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268DE81B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50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2D0E2721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132B5" w14:paraId="44364C48" w14:textId="77777777">
        <w:trPr>
          <w:trHeight w:val="528"/>
          <w:jc w:val="center"/>
        </w:trPr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95F5BA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3C3C41"/>
                <w:sz w:val="20"/>
                <w:szCs w:val="20"/>
                <w:highlight w:val="white"/>
              </w:rPr>
              <w:t xml:space="preserve">d.) </w:t>
            </w:r>
            <w:r>
              <w:rPr>
                <w:color w:val="3C3C41"/>
                <w:sz w:val="20"/>
                <w:szCs w:val="20"/>
                <w:highlight w:val="white"/>
              </w:rPr>
              <w:t>Provide intentional and explicit instruction for all common core standards to close the learning gap. </w:t>
            </w:r>
          </w:p>
        </w:tc>
        <w:tc>
          <w:tcPr>
            <w:tcW w:w="4208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14008E34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45C2C1E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50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0F156E54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132B5" w14:paraId="6CAB1195" w14:textId="77777777">
        <w:trPr>
          <w:trHeight w:val="258"/>
          <w:jc w:val="center"/>
        </w:trPr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2192FBC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3C3C41"/>
                <w:sz w:val="20"/>
                <w:szCs w:val="20"/>
                <w:highlight w:val="white"/>
              </w:rPr>
              <w:t xml:space="preserve">e.) </w:t>
            </w:r>
            <w:r>
              <w:rPr>
                <w:color w:val="3C3C41"/>
                <w:sz w:val="20"/>
                <w:szCs w:val="20"/>
                <w:highlight w:val="white"/>
              </w:rPr>
              <w:t xml:space="preserve">Incorporate developmentally appropriate practices for early learners and young adolescents. </w:t>
            </w:r>
          </w:p>
          <w:p w14:paraId="4B49275F" w14:textId="77777777" w:rsidR="002132B5" w:rsidRDefault="002132B5">
            <w:pPr>
              <w:rPr>
                <w:color w:val="000000"/>
              </w:rPr>
            </w:pPr>
          </w:p>
        </w:tc>
        <w:tc>
          <w:tcPr>
            <w:tcW w:w="4208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50784CE4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322A9774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50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270101B4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132B5" w14:paraId="3891A4EE" w14:textId="77777777">
        <w:trPr>
          <w:trHeight w:val="663"/>
          <w:jc w:val="center"/>
        </w:trPr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CE6DFF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3C3C41"/>
                <w:sz w:val="20"/>
                <w:szCs w:val="20"/>
                <w:highlight w:val="white"/>
              </w:rPr>
              <w:t xml:space="preserve">f.) </w:t>
            </w:r>
            <w:r>
              <w:rPr>
                <w:color w:val="3C3C41"/>
                <w:sz w:val="20"/>
                <w:szCs w:val="20"/>
                <w:highlight w:val="white"/>
              </w:rPr>
              <w:t>Infuse academic vocabulary in all content areas.</w:t>
            </w:r>
          </w:p>
        </w:tc>
        <w:tc>
          <w:tcPr>
            <w:tcW w:w="4208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F5ECCFD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2EB01C4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50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3CAF9FC9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132B5" w14:paraId="41BC50C0" w14:textId="77777777">
        <w:trPr>
          <w:trHeight w:val="1035"/>
          <w:jc w:val="center"/>
        </w:trPr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671202B" w14:textId="77777777" w:rsidR="002132B5" w:rsidRDefault="005C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  <w:highlight w:val="white"/>
              </w:rPr>
              <w:t xml:space="preserve">G.) </w:t>
            </w:r>
            <w:r>
              <w:rPr>
                <w:color w:val="000000"/>
                <w:sz w:val="20"/>
                <w:szCs w:val="20"/>
                <w:highlight w:val="white"/>
              </w:rPr>
              <w:t>Explore reading intervention programs for our most struggling students.</w:t>
            </w:r>
          </w:p>
          <w:p w14:paraId="7CEBE610" w14:textId="77777777" w:rsidR="002132B5" w:rsidRDefault="002132B5">
            <w:pPr>
              <w:rPr>
                <w:color w:val="000000"/>
              </w:rPr>
            </w:pPr>
          </w:p>
        </w:tc>
        <w:tc>
          <w:tcPr>
            <w:tcW w:w="4208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00E5E8DB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0F22C28C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50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438E360C" w14:textId="77777777" w:rsidR="002132B5" w:rsidRDefault="0021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7072A492" w14:textId="77777777" w:rsidR="002132B5" w:rsidRDefault="002132B5">
      <w:pPr>
        <w:rPr>
          <w:rFonts w:ascii="-webkit-standard" w:eastAsia="-webkit-standard" w:hAnsi="-webkit-standard" w:cs="-webkit-standard"/>
          <w:color w:val="000000"/>
        </w:rPr>
      </w:pPr>
    </w:p>
    <w:p w14:paraId="79207889" w14:textId="77777777" w:rsidR="002132B5" w:rsidRDefault="002132B5">
      <w:pPr>
        <w:rPr>
          <w:rFonts w:ascii="-webkit-standard" w:eastAsia="-webkit-standard" w:hAnsi="-webkit-standard" w:cs="-webkit-standard"/>
          <w:color w:val="000000"/>
        </w:rPr>
      </w:pPr>
    </w:p>
    <w:p w14:paraId="6DBD1794" w14:textId="77777777" w:rsidR="002132B5" w:rsidRDefault="002132B5">
      <w:pPr>
        <w:rPr>
          <w:rFonts w:ascii="-webkit-standard" w:eastAsia="-webkit-standard" w:hAnsi="-webkit-standard" w:cs="-webkit-standard"/>
          <w:color w:val="000000"/>
        </w:rPr>
      </w:pPr>
    </w:p>
    <w:p w14:paraId="0A3E73B1" w14:textId="77777777" w:rsidR="002132B5" w:rsidRDefault="002132B5">
      <w:pPr>
        <w:rPr>
          <w:rFonts w:ascii="-webkit-standard" w:eastAsia="-webkit-standard" w:hAnsi="-webkit-standard" w:cs="-webkit-standard"/>
          <w:color w:val="000000"/>
        </w:rPr>
      </w:pPr>
    </w:p>
    <w:p w14:paraId="18E90892" w14:textId="77777777" w:rsidR="002132B5" w:rsidRDefault="002132B5">
      <w:pPr>
        <w:rPr>
          <w:rFonts w:ascii="-webkit-standard" w:eastAsia="-webkit-standard" w:hAnsi="-webkit-standard" w:cs="-webkit-standard"/>
          <w:color w:val="000000"/>
        </w:rPr>
      </w:pPr>
    </w:p>
    <w:p w14:paraId="3EFA9684" w14:textId="77777777" w:rsidR="002132B5" w:rsidRDefault="002132B5">
      <w:pPr>
        <w:rPr>
          <w:rFonts w:ascii="-webkit-standard" w:eastAsia="-webkit-standard" w:hAnsi="-webkit-standard" w:cs="-webkit-standard"/>
          <w:color w:val="000000"/>
          <w:sz w:val="32"/>
          <w:szCs w:val="32"/>
        </w:rPr>
      </w:pPr>
    </w:p>
    <w:p w14:paraId="2E6D18C0" w14:textId="77777777" w:rsidR="002132B5" w:rsidRDefault="002132B5">
      <w:pPr>
        <w:ind w:left="1440"/>
        <w:rPr>
          <w:rFonts w:ascii="-webkit-standard" w:eastAsia="-webkit-standard" w:hAnsi="-webkit-standard" w:cs="-webkit-standard"/>
          <w:sz w:val="32"/>
          <w:szCs w:val="32"/>
        </w:rPr>
      </w:pPr>
    </w:p>
    <w:p w14:paraId="2A5B4C94" w14:textId="77777777" w:rsidR="002132B5" w:rsidRDefault="005C14E7">
      <w:pPr>
        <w:ind w:left="1440"/>
        <w:rPr>
          <w:rFonts w:ascii="-webkit-standard" w:eastAsia="-webkit-standard" w:hAnsi="-webkit-standard" w:cs="-webkit-standard"/>
          <w:color w:val="000000"/>
          <w:sz w:val="32"/>
          <w:szCs w:val="32"/>
        </w:rPr>
      </w:pPr>
      <w:r>
        <w:rPr>
          <w:rFonts w:ascii="-webkit-standard" w:eastAsia="-webkit-standard" w:hAnsi="-webkit-standard" w:cs="-webkit-standard"/>
          <w:color w:val="000000"/>
          <w:sz w:val="32"/>
          <w:szCs w:val="32"/>
        </w:rPr>
        <w:t>Academic Review Team Template</w:t>
      </w:r>
    </w:p>
    <w:p w14:paraId="0B95808B" w14:textId="77777777" w:rsidR="002132B5" w:rsidRDefault="002132B5">
      <w:pPr>
        <w:ind w:left="1440"/>
        <w:rPr>
          <w:rFonts w:ascii="-webkit-standard" w:eastAsia="-webkit-standard" w:hAnsi="-webkit-standard" w:cs="-webkit-standard"/>
          <w:color w:val="000000"/>
        </w:rPr>
      </w:pPr>
    </w:p>
    <w:p w14:paraId="0170FF82" w14:textId="77777777" w:rsidR="002132B5" w:rsidRDefault="002132B5">
      <w:pPr>
        <w:rPr>
          <w:rFonts w:ascii="-webkit-standard" w:eastAsia="-webkit-standard" w:hAnsi="-webkit-standard" w:cs="-webkit-standard"/>
          <w:color w:val="000000"/>
        </w:rPr>
      </w:pPr>
    </w:p>
    <w:tbl>
      <w:tblPr>
        <w:tblStyle w:val="a4"/>
        <w:tblW w:w="15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5310"/>
        <w:gridCol w:w="5580"/>
        <w:gridCol w:w="2520"/>
      </w:tblGrid>
      <w:tr w:rsidR="002132B5" w14:paraId="75289003" w14:textId="77777777">
        <w:trPr>
          <w:trHeight w:val="319"/>
          <w:jc w:val="center"/>
        </w:trPr>
        <w:tc>
          <w:tcPr>
            <w:tcW w:w="15750" w:type="dxa"/>
            <w:gridSpan w:val="4"/>
            <w:shd w:val="clear" w:color="auto" w:fill="EFEFEF"/>
          </w:tcPr>
          <w:p w14:paraId="6706DBBE" w14:textId="77777777" w:rsidR="002132B5" w:rsidRDefault="002132B5">
            <w:pPr>
              <w:rPr>
                <w:rFonts w:ascii="-webkit-standard" w:eastAsia="-webkit-standard" w:hAnsi="-webkit-standard" w:cs="-webkit-standard"/>
                <w:b/>
              </w:rPr>
            </w:pPr>
          </w:p>
          <w:p w14:paraId="0D28E6BD" w14:textId="77777777" w:rsidR="002132B5" w:rsidRDefault="005C14E7">
            <w:pPr>
              <w:rPr>
                <w:rFonts w:ascii="-webkit-standard" w:eastAsia="-webkit-standard" w:hAnsi="-webkit-standard" w:cs="-webkit-standard"/>
                <w:b/>
                <w:color w:val="000000"/>
              </w:rPr>
            </w:pPr>
            <w:r>
              <w:rPr>
                <w:rFonts w:ascii="-webkit-standard" w:eastAsia="-webkit-standard" w:hAnsi="-webkit-standard" w:cs="-webkit-standard"/>
                <w:b/>
              </w:rPr>
              <w:t xml:space="preserve">I.) IMPROVE LEARNING ENVIRONMENT TO SUPPORT THE WHOLE CHILD. </w:t>
            </w:r>
          </w:p>
        </w:tc>
      </w:tr>
      <w:tr w:rsidR="002132B5" w14:paraId="28D4BDC2" w14:textId="77777777">
        <w:trPr>
          <w:trHeight w:val="319"/>
          <w:jc w:val="center"/>
        </w:trPr>
        <w:tc>
          <w:tcPr>
            <w:tcW w:w="2340" w:type="dxa"/>
          </w:tcPr>
          <w:p w14:paraId="3029BB80" w14:textId="77777777" w:rsidR="002132B5" w:rsidRDefault="005C14E7">
            <w:pPr>
              <w:rPr>
                <w:rFonts w:ascii="-webkit-standard" w:eastAsia="-webkit-standard" w:hAnsi="-webkit-standard" w:cs="-webkit-standard"/>
                <w:b/>
                <w:color w:val="000000"/>
              </w:rPr>
            </w:pPr>
            <w:r>
              <w:rPr>
                <w:rFonts w:ascii="-webkit-standard" w:eastAsia="-webkit-standard" w:hAnsi="-webkit-standard" w:cs="-webkit-standard"/>
                <w:b/>
                <w:color w:val="000000"/>
              </w:rPr>
              <w:t>What is being monitored</w:t>
            </w:r>
          </w:p>
        </w:tc>
        <w:tc>
          <w:tcPr>
            <w:tcW w:w="5310" w:type="dxa"/>
          </w:tcPr>
          <w:p w14:paraId="4C0AF371" w14:textId="77777777" w:rsidR="002132B5" w:rsidRDefault="005C14E7">
            <w:pPr>
              <w:rPr>
                <w:rFonts w:ascii="-webkit-standard" w:eastAsia="-webkit-standard" w:hAnsi="-webkit-standard" w:cs="-webkit-standard"/>
                <w:b/>
                <w:color w:val="000000"/>
              </w:rPr>
            </w:pPr>
            <w:r>
              <w:rPr>
                <w:rFonts w:ascii="-webkit-standard" w:eastAsia="-webkit-standard" w:hAnsi="-webkit-standard" w:cs="-webkit-standard"/>
                <w:b/>
              </w:rPr>
              <w:t>Evidence Collection</w:t>
            </w:r>
          </w:p>
        </w:tc>
        <w:tc>
          <w:tcPr>
            <w:tcW w:w="5580" w:type="dxa"/>
          </w:tcPr>
          <w:p w14:paraId="5B2A1D00" w14:textId="77777777" w:rsidR="002132B5" w:rsidRDefault="005C14E7">
            <w:pPr>
              <w:rPr>
                <w:rFonts w:ascii="-webkit-standard" w:eastAsia="-webkit-standard" w:hAnsi="-webkit-standard" w:cs="-webkit-standard"/>
                <w:b/>
                <w:color w:val="000000"/>
              </w:rPr>
            </w:pPr>
            <w:r>
              <w:rPr>
                <w:rFonts w:ascii="-webkit-standard" w:eastAsia="-webkit-standard" w:hAnsi="-webkit-standard" w:cs="-webkit-standard"/>
                <w:b/>
                <w:color w:val="000000"/>
              </w:rPr>
              <w:t>Notes</w:t>
            </w:r>
          </w:p>
        </w:tc>
        <w:tc>
          <w:tcPr>
            <w:tcW w:w="2520" w:type="dxa"/>
          </w:tcPr>
          <w:p w14:paraId="79A778DD" w14:textId="77777777" w:rsidR="002132B5" w:rsidRDefault="005C14E7">
            <w:pPr>
              <w:rPr>
                <w:rFonts w:ascii="-webkit-standard" w:eastAsia="-webkit-standard" w:hAnsi="-webkit-standard" w:cs="-webkit-standard"/>
                <w:b/>
                <w:color w:val="000000"/>
              </w:rPr>
            </w:pPr>
            <w:r>
              <w:rPr>
                <w:rFonts w:ascii="-webkit-standard" w:eastAsia="-webkit-standard" w:hAnsi="-webkit-standard" w:cs="-webkit-standard"/>
                <w:b/>
                <w:color w:val="000000"/>
              </w:rPr>
              <w:t xml:space="preserve">Person(s) Responsible </w:t>
            </w:r>
          </w:p>
        </w:tc>
      </w:tr>
      <w:tr w:rsidR="002132B5" w14:paraId="7F8F8C39" w14:textId="77777777">
        <w:trPr>
          <w:jc w:val="center"/>
        </w:trPr>
        <w:tc>
          <w:tcPr>
            <w:tcW w:w="2340" w:type="dxa"/>
          </w:tcPr>
          <w:p w14:paraId="04807E8B" w14:textId="77777777" w:rsidR="002132B5" w:rsidRDefault="005C14E7">
            <w:pPr>
              <w:rPr>
                <w:rFonts w:ascii="-webkit-standard" w:eastAsia="-webkit-standard" w:hAnsi="-webkit-standard" w:cs="-webkit-standard"/>
                <w:color w:val="000000"/>
              </w:rPr>
            </w:pPr>
            <w:r>
              <w:rPr>
                <w:rFonts w:ascii="-webkit-standard" w:eastAsia="-webkit-standard" w:hAnsi="-webkit-standard" w:cs="-webkit-standard"/>
              </w:rPr>
              <w:t xml:space="preserve">Family </w:t>
            </w:r>
            <w:r>
              <w:rPr>
                <w:rFonts w:ascii="-webkit-standard" w:eastAsia="-webkit-standard" w:hAnsi="-webkit-standard" w:cs="-webkit-standard"/>
                <w:color w:val="000000"/>
              </w:rPr>
              <w:t xml:space="preserve">Engagement </w:t>
            </w:r>
          </w:p>
          <w:p w14:paraId="50833D69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55D7D7B5" w14:textId="77777777" w:rsidR="002132B5" w:rsidRDefault="005C14E7">
            <w:pPr>
              <w:rPr>
                <w:rFonts w:ascii="-webkit-standard" w:eastAsia="-webkit-standard" w:hAnsi="-webkit-standard" w:cs="-webkit-standard"/>
                <w:color w:val="000000"/>
              </w:rPr>
            </w:pPr>
            <w:r>
              <w:rPr>
                <w:rFonts w:ascii="-webkit-standard" w:eastAsia="-webkit-standard" w:hAnsi="-webkit-standard" w:cs="-webkit-standard"/>
                <w:color w:val="000000"/>
              </w:rPr>
              <w:t xml:space="preserve">Reciprocal Communication </w:t>
            </w:r>
          </w:p>
          <w:p w14:paraId="547B308A" w14:textId="77777777" w:rsidR="002132B5" w:rsidRDefault="002132B5">
            <w:pPr>
              <w:rPr>
                <w:rFonts w:ascii="-webkit-standard" w:eastAsia="-webkit-standard" w:hAnsi="-webkit-standard" w:cs="-webkit-standard"/>
                <w:color w:val="000000"/>
              </w:rPr>
            </w:pPr>
          </w:p>
          <w:p w14:paraId="15020CA8" w14:textId="77777777" w:rsidR="002132B5" w:rsidRDefault="002132B5">
            <w:pPr>
              <w:rPr>
                <w:rFonts w:ascii="-webkit-standard" w:eastAsia="-webkit-standard" w:hAnsi="-webkit-standard" w:cs="-webkit-standard"/>
                <w:color w:val="000000"/>
              </w:rPr>
            </w:pPr>
          </w:p>
        </w:tc>
        <w:tc>
          <w:tcPr>
            <w:tcW w:w="5310" w:type="dxa"/>
          </w:tcPr>
          <w:p w14:paraId="0AAC3970" w14:textId="77777777" w:rsidR="002132B5" w:rsidRDefault="005C14E7">
            <w:pPr>
              <w:rPr>
                <w:rFonts w:ascii="-webkit-standard" w:eastAsia="-webkit-standard" w:hAnsi="-webkit-standard" w:cs="-webkit-standard"/>
                <w:color w:val="000000"/>
              </w:rPr>
            </w:pPr>
            <w:r>
              <w:rPr>
                <w:rFonts w:ascii="-webkit-standard" w:eastAsia="-webkit-standard" w:hAnsi="-webkit-standard" w:cs="-webkit-standard"/>
              </w:rPr>
              <w:t xml:space="preserve">Family </w:t>
            </w:r>
            <w:proofErr w:type="spellStart"/>
            <w:r>
              <w:rPr>
                <w:rFonts w:ascii="-webkit-standard" w:eastAsia="-webkit-standard" w:hAnsi="-webkit-standard" w:cs="-webkit-standard"/>
                <w:color w:val="000000"/>
              </w:rPr>
              <w:t>Engagment</w:t>
            </w:r>
            <w:proofErr w:type="spellEnd"/>
            <w:r>
              <w:rPr>
                <w:rFonts w:ascii="-webkit-standard" w:eastAsia="-webkit-standard" w:hAnsi="-webkit-standard" w:cs="-webkit-standard"/>
                <w:color w:val="000000"/>
              </w:rPr>
              <w:t xml:space="preserve"> Team: </w:t>
            </w:r>
          </w:p>
          <w:p w14:paraId="0C243E34" w14:textId="77777777" w:rsidR="002132B5" w:rsidRDefault="005C14E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Reviews survey and creates an action plan to increase:</w:t>
            </w:r>
          </w:p>
          <w:p w14:paraId="6573136D" w14:textId="77777777" w:rsidR="002132B5" w:rsidRDefault="005C14E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Parent engagement</w:t>
            </w:r>
          </w:p>
          <w:p w14:paraId="0ABD21D4" w14:textId="77777777" w:rsidR="002132B5" w:rsidRDefault="005C14E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Parent Reciprocal Communication</w:t>
            </w:r>
          </w:p>
          <w:p w14:paraId="14C784B4" w14:textId="77777777" w:rsidR="002132B5" w:rsidRDefault="005C14E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Monitoring system to measure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impact of our actions.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53ABA31" w14:textId="77777777" w:rsidR="002132B5" w:rsidRDefault="002132B5">
            <w:pPr>
              <w:rPr>
                <w:rFonts w:ascii="-webkit-standard" w:eastAsia="-webkit-standard" w:hAnsi="-webkit-standard" w:cs="-webkit-standard"/>
                <w:color w:val="000000"/>
              </w:rPr>
            </w:pPr>
          </w:p>
        </w:tc>
        <w:tc>
          <w:tcPr>
            <w:tcW w:w="5580" w:type="dxa"/>
          </w:tcPr>
          <w:p w14:paraId="7905CA9B" w14:textId="77777777" w:rsidR="002132B5" w:rsidRDefault="002132B5">
            <w:pPr>
              <w:rPr>
                <w:rFonts w:ascii="-webkit-standard" w:eastAsia="-webkit-standard" w:hAnsi="-webkit-standard" w:cs="-webkit-standard"/>
                <w:color w:val="000000"/>
              </w:rPr>
            </w:pPr>
          </w:p>
        </w:tc>
        <w:tc>
          <w:tcPr>
            <w:tcW w:w="2520" w:type="dxa"/>
          </w:tcPr>
          <w:p w14:paraId="6E3A9038" w14:textId="77777777" w:rsidR="002132B5" w:rsidRDefault="005C14E7">
            <w:pPr>
              <w:rPr>
                <w:rFonts w:ascii="-webkit-standard" w:eastAsia="-webkit-standard" w:hAnsi="-webkit-standard" w:cs="-webkit-standard"/>
                <w:color w:val="000000"/>
              </w:rPr>
            </w:pPr>
            <w:r>
              <w:rPr>
                <w:rFonts w:ascii="-webkit-standard" w:eastAsia="-webkit-standard" w:hAnsi="-webkit-standard" w:cs="-webkit-standard"/>
                <w:color w:val="000000"/>
              </w:rPr>
              <w:t xml:space="preserve">Family Engagement </w:t>
            </w:r>
            <w:r>
              <w:rPr>
                <w:rFonts w:ascii="-webkit-standard" w:eastAsia="-webkit-standard" w:hAnsi="-webkit-standard" w:cs="-webkit-standard"/>
              </w:rPr>
              <w:t>Team</w:t>
            </w:r>
            <w:r>
              <w:rPr>
                <w:rFonts w:ascii="-webkit-standard" w:eastAsia="-webkit-standard" w:hAnsi="-webkit-standard" w:cs="-webkit-standard"/>
                <w:color w:val="000000"/>
              </w:rPr>
              <w:t xml:space="preserve">: </w:t>
            </w:r>
          </w:p>
          <w:p w14:paraId="57BBB48C" w14:textId="77777777" w:rsidR="002132B5" w:rsidRDefault="005C14E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-webkit-standard" w:eastAsia="-webkit-standard" w:hAnsi="-webkit-standard" w:cs="-webkit-standard"/>
                <w:color w:val="000000"/>
              </w:rPr>
              <w:t>PCNC</w:t>
            </w:r>
          </w:p>
          <w:p w14:paraId="570A309B" w14:textId="77777777" w:rsidR="002132B5" w:rsidRDefault="005C14E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-webkit-standard" w:eastAsia="-webkit-standard" w:hAnsi="-webkit-standard" w:cs="-webkit-standard"/>
                <w:color w:val="000000"/>
              </w:rPr>
              <w:t>Counselor</w:t>
            </w:r>
          </w:p>
          <w:p w14:paraId="3CF78AAB" w14:textId="77777777" w:rsidR="002132B5" w:rsidRDefault="005C14E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-webkit-standard" w:eastAsia="-webkit-standard" w:hAnsi="-webkit-standard" w:cs="-webkit-standard"/>
                <w:color w:val="000000"/>
              </w:rPr>
              <w:t>1-2 teachers</w:t>
            </w:r>
          </w:p>
        </w:tc>
      </w:tr>
      <w:tr w:rsidR="002132B5" w14:paraId="6DD8C0A8" w14:textId="77777777">
        <w:trPr>
          <w:trHeight w:val="240"/>
          <w:jc w:val="center"/>
        </w:trPr>
        <w:tc>
          <w:tcPr>
            <w:tcW w:w="2340" w:type="dxa"/>
          </w:tcPr>
          <w:p w14:paraId="41035933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 xml:space="preserve">Student </w:t>
            </w:r>
            <w:proofErr w:type="spellStart"/>
            <w:r>
              <w:rPr>
                <w:rFonts w:ascii="-webkit-standard" w:eastAsia="-webkit-standard" w:hAnsi="-webkit-standard" w:cs="-webkit-standard"/>
              </w:rPr>
              <w:t>Self Regulation</w:t>
            </w:r>
            <w:proofErr w:type="spellEnd"/>
            <w:r>
              <w:rPr>
                <w:rFonts w:ascii="-webkit-standard" w:eastAsia="-webkit-standard" w:hAnsi="-webkit-standard" w:cs="-webkit-standard"/>
              </w:rPr>
              <w:t xml:space="preserve"> Skills</w:t>
            </w:r>
          </w:p>
          <w:p w14:paraId="3881C1FC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64FBACD2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proofErr w:type="spellStart"/>
            <w:r>
              <w:rPr>
                <w:rFonts w:ascii="-webkit-standard" w:eastAsia="-webkit-standard" w:hAnsi="-webkit-standard" w:cs="-webkit-standard"/>
              </w:rPr>
              <w:t>Self Directed</w:t>
            </w:r>
            <w:proofErr w:type="spellEnd"/>
            <w:r>
              <w:rPr>
                <w:rFonts w:ascii="-webkit-standard" w:eastAsia="-webkit-standard" w:hAnsi="-webkit-standard" w:cs="-webkit-standard"/>
              </w:rPr>
              <w:t xml:space="preserve"> Learner. </w:t>
            </w:r>
          </w:p>
          <w:p w14:paraId="2621F10C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7F291D64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</w:tc>
        <w:tc>
          <w:tcPr>
            <w:tcW w:w="5310" w:type="dxa"/>
          </w:tcPr>
          <w:p w14:paraId="675982D5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 xml:space="preserve">Record </w:t>
            </w:r>
            <w:hyperlink r:id="rId33">
              <w:r>
                <w:rPr>
                  <w:b/>
                  <w:color w:val="1155CC"/>
                  <w:u w:val="single"/>
                </w:rPr>
                <w:t>GLO</w:t>
              </w:r>
            </w:hyperlink>
            <w:r>
              <w:rPr>
                <w:rFonts w:ascii="-webkit-standard" w:eastAsia="-webkit-standard" w:hAnsi="-webkit-standard" w:cs="-webkit-standard"/>
              </w:rPr>
              <w:t xml:space="preserve"> data for Semester 1 </w:t>
            </w:r>
          </w:p>
          <w:p w14:paraId="6FFD08CE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5947C876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Review and discuss implications.</w:t>
            </w:r>
          </w:p>
          <w:p w14:paraId="31E23A00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4ED7D164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 xml:space="preserve">Share </w:t>
            </w:r>
            <w:hyperlink r:id="rId34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Panorama Playbook</w:t>
              </w:r>
            </w:hyperlink>
            <w:r>
              <w:rPr>
                <w:rFonts w:ascii="-webkit-standard" w:eastAsia="-webkit-standard" w:hAnsi="-webkit-standard" w:cs="-webkit-standard"/>
              </w:rPr>
              <w:t xml:space="preserve"> activities/strategies for improving student </w:t>
            </w:r>
            <w:proofErr w:type="spellStart"/>
            <w:r>
              <w:rPr>
                <w:rFonts w:ascii="-webkit-standard" w:eastAsia="-webkit-standard" w:hAnsi="-webkit-standard" w:cs="-webkit-standard"/>
              </w:rPr>
              <w:t>self regulation</w:t>
            </w:r>
            <w:proofErr w:type="spellEnd"/>
            <w:r>
              <w:rPr>
                <w:rFonts w:ascii="-webkit-standard" w:eastAsia="-webkit-standard" w:hAnsi="-webkit-standard" w:cs="-webkit-standard"/>
              </w:rPr>
              <w:t xml:space="preserve"> and </w:t>
            </w:r>
            <w:proofErr w:type="spellStart"/>
            <w:r>
              <w:rPr>
                <w:rFonts w:ascii="-webkit-standard" w:eastAsia="-webkit-standard" w:hAnsi="-webkit-standard" w:cs="-webkit-standard"/>
              </w:rPr>
              <w:t>self directed</w:t>
            </w:r>
            <w:proofErr w:type="spellEnd"/>
            <w:r>
              <w:rPr>
                <w:rFonts w:ascii="-webkit-standard" w:eastAsia="-webkit-standard" w:hAnsi="-webkit-standard" w:cs="-webkit-standard"/>
              </w:rPr>
              <w:t xml:space="preserve"> learner. </w:t>
            </w:r>
          </w:p>
          <w:p w14:paraId="4888B66E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3FCB7047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</w:tc>
        <w:tc>
          <w:tcPr>
            <w:tcW w:w="5580" w:type="dxa"/>
          </w:tcPr>
          <w:p w14:paraId="7A9F3738" w14:textId="77777777" w:rsidR="002132B5" w:rsidRDefault="002132B5">
            <w:pPr>
              <w:rPr>
                <w:rFonts w:ascii="-webkit-standard" w:eastAsia="-webkit-standard" w:hAnsi="-webkit-standard" w:cs="-webkit-standard"/>
                <w:color w:val="000000"/>
              </w:rPr>
            </w:pPr>
          </w:p>
        </w:tc>
        <w:tc>
          <w:tcPr>
            <w:tcW w:w="2520" w:type="dxa"/>
          </w:tcPr>
          <w:p w14:paraId="491660F8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Student Learning Readiness Team</w:t>
            </w:r>
          </w:p>
          <w:p w14:paraId="7A92ED38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71A38975" w14:textId="77777777" w:rsidR="002132B5" w:rsidRDefault="005C14E7">
            <w:pPr>
              <w:numPr>
                <w:ilvl w:val="0"/>
                <w:numId w:val="11"/>
              </w:numPr>
              <w:rPr>
                <w:rFonts w:ascii="-webkit-standard" w:eastAsia="-webkit-standard" w:hAnsi="-webkit-standard" w:cs="-webkit-standard"/>
                <w:sz w:val="22"/>
                <w:szCs w:val="22"/>
              </w:rPr>
            </w:pPr>
            <w:r>
              <w:rPr>
                <w:rFonts w:ascii="-webkit-standard" w:eastAsia="-webkit-standard" w:hAnsi="-webkit-standard" w:cs="-webkit-standard"/>
                <w:sz w:val="22"/>
                <w:szCs w:val="22"/>
              </w:rPr>
              <w:t>Counselor</w:t>
            </w:r>
          </w:p>
          <w:p w14:paraId="29DD411F" w14:textId="77777777" w:rsidR="002132B5" w:rsidRDefault="005C14E7">
            <w:pPr>
              <w:numPr>
                <w:ilvl w:val="0"/>
                <w:numId w:val="11"/>
              </w:numPr>
              <w:rPr>
                <w:rFonts w:ascii="-webkit-standard" w:eastAsia="-webkit-standard" w:hAnsi="-webkit-standard" w:cs="-webkit-standard"/>
                <w:sz w:val="22"/>
                <w:szCs w:val="22"/>
              </w:rPr>
            </w:pPr>
            <w:r>
              <w:rPr>
                <w:rFonts w:ascii="-webkit-standard" w:eastAsia="-webkit-standard" w:hAnsi="-webkit-standard" w:cs="-webkit-standard"/>
                <w:sz w:val="22"/>
                <w:szCs w:val="22"/>
              </w:rPr>
              <w:t>SSC</w:t>
            </w:r>
          </w:p>
          <w:p w14:paraId="2818003B" w14:textId="77777777" w:rsidR="002132B5" w:rsidRDefault="005C14E7">
            <w:pPr>
              <w:numPr>
                <w:ilvl w:val="0"/>
                <w:numId w:val="11"/>
              </w:numPr>
              <w:rPr>
                <w:rFonts w:ascii="-webkit-standard" w:eastAsia="-webkit-standard" w:hAnsi="-webkit-standard" w:cs="-webkit-standard"/>
                <w:sz w:val="22"/>
                <w:szCs w:val="22"/>
              </w:rPr>
            </w:pPr>
            <w:r>
              <w:rPr>
                <w:rFonts w:ascii="-webkit-standard" w:eastAsia="-webkit-standard" w:hAnsi="-webkit-standard" w:cs="-webkit-standard"/>
                <w:sz w:val="22"/>
                <w:szCs w:val="22"/>
              </w:rPr>
              <w:t>Lower grade teacher</w:t>
            </w:r>
          </w:p>
          <w:p w14:paraId="3BCD933A" w14:textId="77777777" w:rsidR="002132B5" w:rsidRDefault="005C14E7">
            <w:pPr>
              <w:numPr>
                <w:ilvl w:val="0"/>
                <w:numId w:val="11"/>
              </w:numPr>
              <w:rPr>
                <w:rFonts w:ascii="-webkit-standard" w:eastAsia="-webkit-standard" w:hAnsi="-webkit-standard" w:cs="-webkit-standard"/>
                <w:sz w:val="22"/>
                <w:szCs w:val="22"/>
              </w:rPr>
            </w:pPr>
            <w:r>
              <w:rPr>
                <w:rFonts w:ascii="-webkit-standard" w:eastAsia="-webkit-standard" w:hAnsi="-webkit-standard" w:cs="-webkit-standard"/>
                <w:sz w:val="22"/>
                <w:szCs w:val="22"/>
              </w:rPr>
              <w:t>Upper grade teacher</w:t>
            </w:r>
          </w:p>
          <w:p w14:paraId="5895EFF6" w14:textId="77777777" w:rsidR="002132B5" w:rsidRDefault="005C14E7">
            <w:pPr>
              <w:numPr>
                <w:ilvl w:val="0"/>
                <w:numId w:val="11"/>
              </w:numPr>
              <w:rPr>
                <w:rFonts w:ascii="-webkit-standard" w:eastAsia="-webkit-standard" w:hAnsi="-webkit-standard" w:cs="-webkit-standard"/>
                <w:sz w:val="22"/>
                <w:szCs w:val="22"/>
              </w:rPr>
            </w:pPr>
            <w:r>
              <w:rPr>
                <w:rFonts w:ascii="-webkit-standard" w:eastAsia="-webkit-standard" w:hAnsi="-webkit-standard" w:cs="-webkit-standard"/>
                <w:sz w:val="22"/>
                <w:szCs w:val="22"/>
              </w:rPr>
              <w:t>Sped Teacher</w:t>
            </w:r>
          </w:p>
          <w:p w14:paraId="0B238CAF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</w:tc>
      </w:tr>
      <w:tr w:rsidR="002132B5" w14:paraId="2B55508D" w14:textId="77777777">
        <w:trPr>
          <w:trHeight w:val="240"/>
          <w:jc w:val="center"/>
        </w:trPr>
        <w:tc>
          <w:tcPr>
            <w:tcW w:w="2340" w:type="dxa"/>
          </w:tcPr>
          <w:p w14:paraId="2F63D7E1" w14:textId="77777777" w:rsidR="002132B5" w:rsidRDefault="005C14E7">
            <w:pPr>
              <w:rPr>
                <w:rFonts w:ascii="-webkit-standard" w:eastAsia="-webkit-standard" w:hAnsi="-webkit-standard" w:cs="-webkit-standard"/>
                <w:color w:val="000000"/>
              </w:rPr>
            </w:pPr>
            <w:r>
              <w:rPr>
                <w:rFonts w:ascii="-webkit-standard" w:eastAsia="-webkit-standard" w:hAnsi="-webkit-standard" w:cs="-webkit-standard"/>
              </w:rPr>
              <w:t xml:space="preserve">Implementation of MTSS </w:t>
            </w:r>
          </w:p>
        </w:tc>
        <w:tc>
          <w:tcPr>
            <w:tcW w:w="5310" w:type="dxa"/>
          </w:tcPr>
          <w:p w14:paraId="245DAD7A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 xml:space="preserve">Documentation of early interventions for struggling learners. </w:t>
            </w:r>
          </w:p>
          <w:p w14:paraId="38D4F9E3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5D8347C3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1064FCED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0D47D7F5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18348CE6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330E248E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409D1CA0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665FF313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</w:tc>
        <w:tc>
          <w:tcPr>
            <w:tcW w:w="5580" w:type="dxa"/>
          </w:tcPr>
          <w:p w14:paraId="09FD0EA6" w14:textId="77777777" w:rsidR="002132B5" w:rsidRDefault="002132B5">
            <w:pPr>
              <w:rPr>
                <w:rFonts w:ascii="-webkit-standard" w:eastAsia="-webkit-standard" w:hAnsi="-webkit-standard" w:cs="-webkit-standard"/>
                <w:color w:val="000000"/>
              </w:rPr>
            </w:pPr>
          </w:p>
        </w:tc>
        <w:tc>
          <w:tcPr>
            <w:tcW w:w="2520" w:type="dxa"/>
          </w:tcPr>
          <w:p w14:paraId="4C27BB9D" w14:textId="77777777" w:rsidR="002132B5" w:rsidRDefault="005C14E7">
            <w:pPr>
              <w:rPr>
                <w:rFonts w:ascii="-webkit-standard" w:eastAsia="-webkit-standard" w:hAnsi="-webkit-standard" w:cs="-webkit-standard"/>
                <w:color w:val="000000"/>
              </w:rPr>
            </w:pPr>
            <w:r>
              <w:rPr>
                <w:rFonts w:ascii="-webkit-standard" w:eastAsia="-webkit-standard" w:hAnsi="-webkit-standard" w:cs="-webkit-standard"/>
              </w:rPr>
              <w:t>SSC</w:t>
            </w:r>
          </w:p>
        </w:tc>
      </w:tr>
      <w:tr w:rsidR="002132B5" w14:paraId="488D9CCD" w14:textId="77777777">
        <w:trPr>
          <w:trHeight w:val="240"/>
          <w:jc w:val="center"/>
        </w:trPr>
        <w:tc>
          <w:tcPr>
            <w:tcW w:w="15750" w:type="dxa"/>
            <w:gridSpan w:val="4"/>
            <w:shd w:val="clear" w:color="auto" w:fill="EFEFEF"/>
          </w:tcPr>
          <w:p w14:paraId="02FFF4E3" w14:textId="77777777" w:rsidR="002132B5" w:rsidRDefault="002132B5">
            <w:pPr>
              <w:rPr>
                <w:rFonts w:ascii="-webkit-standard" w:eastAsia="-webkit-standard" w:hAnsi="-webkit-standard" w:cs="-webkit-standard"/>
                <w:b/>
              </w:rPr>
            </w:pPr>
          </w:p>
          <w:p w14:paraId="30625CC4" w14:textId="77777777" w:rsidR="002132B5" w:rsidRDefault="005C14E7">
            <w:pPr>
              <w:rPr>
                <w:rFonts w:ascii="-webkit-standard" w:eastAsia="-webkit-standard" w:hAnsi="-webkit-standard" w:cs="-webkit-standard"/>
                <w:b/>
                <w:color w:val="000000"/>
              </w:rPr>
            </w:pPr>
            <w:r>
              <w:rPr>
                <w:rFonts w:ascii="-webkit-standard" w:eastAsia="-webkit-standard" w:hAnsi="-webkit-standard" w:cs="-webkit-standard"/>
                <w:b/>
              </w:rPr>
              <w:t>II.) IMPROVE TEACHER EFFICACY</w:t>
            </w:r>
          </w:p>
        </w:tc>
      </w:tr>
      <w:tr w:rsidR="002132B5" w14:paraId="39AA2E8B" w14:textId="77777777">
        <w:trPr>
          <w:jc w:val="center"/>
        </w:trPr>
        <w:tc>
          <w:tcPr>
            <w:tcW w:w="2340" w:type="dxa"/>
          </w:tcPr>
          <w:p w14:paraId="7BC54DE5" w14:textId="77777777" w:rsidR="002132B5" w:rsidRDefault="005C14E7">
            <w:pPr>
              <w:rPr>
                <w:rFonts w:ascii="-webkit-standard" w:eastAsia="-webkit-standard" w:hAnsi="-webkit-standard" w:cs="-webkit-standard"/>
                <w:b/>
              </w:rPr>
            </w:pPr>
            <w:r>
              <w:rPr>
                <w:rFonts w:ascii="-webkit-standard" w:eastAsia="-webkit-standard" w:hAnsi="-webkit-standard" w:cs="-webkit-standard"/>
                <w:b/>
              </w:rPr>
              <w:t>What is being monitored</w:t>
            </w:r>
          </w:p>
        </w:tc>
        <w:tc>
          <w:tcPr>
            <w:tcW w:w="5310" w:type="dxa"/>
          </w:tcPr>
          <w:p w14:paraId="5B4A39D5" w14:textId="77777777" w:rsidR="002132B5" w:rsidRDefault="005C14E7">
            <w:pPr>
              <w:rPr>
                <w:rFonts w:ascii="-webkit-standard" w:eastAsia="-webkit-standard" w:hAnsi="-webkit-standard" w:cs="-webkit-standard"/>
                <w:b/>
              </w:rPr>
            </w:pPr>
            <w:r>
              <w:rPr>
                <w:rFonts w:ascii="-webkit-standard" w:eastAsia="-webkit-standard" w:hAnsi="-webkit-standard" w:cs="-webkit-standard"/>
                <w:b/>
              </w:rPr>
              <w:t>Evidence Collection</w:t>
            </w:r>
          </w:p>
        </w:tc>
        <w:tc>
          <w:tcPr>
            <w:tcW w:w="5580" w:type="dxa"/>
          </w:tcPr>
          <w:p w14:paraId="49999318" w14:textId="77777777" w:rsidR="002132B5" w:rsidRDefault="005C14E7">
            <w:pPr>
              <w:rPr>
                <w:rFonts w:ascii="-webkit-standard" w:eastAsia="-webkit-standard" w:hAnsi="-webkit-standard" w:cs="-webkit-standard"/>
                <w:b/>
              </w:rPr>
            </w:pPr>
            <w:r>
              <w:rPr>
                <w:rFonts w:ascii="-webkit-standard" w:eastAsia="-webkit-standard" w:hAnsi="-webkit-standard" w:cs="-webkit-standard"/>
                <w:b/>
              </w:rPr>
              <w:t>Notes</w:t>
            </w:r>
          </w:p>
        </w:tc>
        <w:tc>
          <w:tcPr>
            <w:tcW w:w="2520" w:type="dxa"/>
          </w:tcPr>
          <w:p w14:paraId="23ACDD15" w14:textId="77777777" w:rsidR="002132B5" w:rsidRDefault="005C14E7">
            <w:pPr>
              <w:rPr>
                <w:rFonts w:ascii="-webkit-standard" w:eastAsia="-webkit-standard" w:hAnsi="-webkit-standard" w:cs="-webkit-standard"/>
                <w:b/>
              </w:rPr>
            </w:pPr>
            <w:r>
              <w:rPr>
                <w:rFonts w:ascii="-webkit-standard" w:eastAsia="-webkit-standard" w:hAnsi="-webkit-standard" w:cs="-webkit-standard"/>
                <w:b/>
              </w:rPr>
              <w:t xml:space="preserve">Person(s) Responsible </w:t>
            </w:r>
          </w:p>
        </w:tc>
      </w:tr>
      <w:tr w:rsidR="002132B5" w14:paraId="03EA4CEC" w14:textId="77777777">
        <w:trPr>
          <w:jc w:val="center"/>
        </w:trPr>
        <w:tc>
          <w:tcPr>
            <w:tcW w:w="2340" w:type="dxa"/>
          </w:tcPr>
          <w:p w14:paraId="50C86203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3264ECED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 xml:space="preserve">Cycle of professional teaching and learning. </w:t>
            </w:r>
          </w:p>
          <w:p w14:paraId="64E1FFC9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</w:tc>
        <w:tc>
          <w:tcPr>
            <w:tcW w:w="5310" w:type="dxa"/>
          </w:tcPr>
          <w:p w14:paraId="4D1EAAFE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2C92BE79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 xml:space="preserve">Documentation of one cycle that includes: </w:t>
            </w:r>
          </w:p>
          <w:p w14:paraId="14A1E686" w14:textId="77777777" w:rsidR="002132B5" w:rsidRDefault="005C14E7">
            <w:pPr>
              <w:numPr>
                <w:ilvl w:val="0"/>
                <w:numId w:val="14"/>
              </w:num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  <w:sz w:val="20"/>
                <w:szCs w:val="20"/>
              </w:rPr>
              <w:t xml:space="preserve">Professional Learning using a mentor text. </w:t>
            </w:r>
          </w:p>
          <w:p w14:paraId="22156FDC" w14:textId="77777777" w:rsidR="002132B5" w:rsidRDefault="005C14E7">
            <w:pPr>
              <w:numPr>
                <w:ilvl w:val="0"/>
                <w:numId w:val="14"/>
              </w:numPr>
              <w:rPr>
                <w:rFonts w:ascii="-webkit-standard" w:eastAsia="-webkit-standard" w:hAnsi="-webkit-standard" w:cs="-webkit-standard"/>
                <w:sz w:val="20"/>
                <w:szCs w:val="20"/>
              </w:rPr>
            </w:pPr>
            <w:r>
              <w:rPr>
                <w:rFonts w:ascii="-webkit-standard" w:eastAsia="-webkit-standard" w:hAnsi="-webkit-standard" w:cs="-webkit-standard"/>
                <w:sz w:val="20"/>
                <w:szCs w:val="20"/>
              </w:rPr>
              <w:t>Teacher- teacher observations and feedback</w:t>
            </w:r>
          </w:p>
          <w:p w14:paraId="2B7101D9" w14:textId="77777777" w:rsidR="002132B5" w:rsidRDefault="005C14E7">
            <w:pPr>
              <w:numPr>
                <w:ilvl w:val="0"/>
                <w:numId w:val="14"/>
              </w:num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  <w:sz w:val="20"/>
                <w:szCs w:val="20"/>
              </w:rPr>
              <w:t>Teacher Reflection of instructional practices.</w:t>
            </w:r>
            <w:r>
              <w:rPr>
                <w:rFonts w:ascii="-webkit-standard" w:eastAsia="-webkit-standard" w:hAnsi="-webkit-standard" w:cs="-webkit-standard"/>
              </w:rPr>
              <w:t xml:space="preserve"> </w:t>
            </w:r>
          </w:p>
        </w:tc>
        <w:tc>
          <w:tcPr>
            <w:tcW w:w="5580" w:type="dxa"/>
          </w:tcPr>
          <w:p w14:paraId="29609AC7" w14:textId="77777777" w:rsidR="002132B5" w:rsidRDefault="002132B5">
            <w:pPr>
              <w:rPr>
                <w:rFonts w:ascii="-webkit-standard" w:eastAsia="-webkit-standard" w:hAnsi="-webkit-standard" w:cs="-webkit-standard"/>
                <w:color w:val="000000"/>
              </w:rPr>
            </w:pPr>
          </w:p>
        </w:tc>
        <w:tc>
          <w:tcPr>
            <w:tcW w:w="2520" w:type="dxa"/>
          </w:tcPr>
          <w:p w14:paraId="7A1E9FED" w14:textId="77777777" w:rsidR="002132B5" w:rsidRDefault="005C14E7">
            <w:pPr>
              <w:rPr>
                <w:rFonts w:ascii="-webkit-standard" w:eastAsia="-webkit-standard" w:hAnsi="-webkit-standard" w:cs="-webkit-standard"/>
                <w:color w:val="000000"/>
              </w:rPr>
            </w:pPr>
            <w:r>
              <w:rPr>
                <w:rFonts w:ascii="-webkit-standard" w:eastAsia="-webkit-standard" w:hAnsi="-webkit-standard" w:cs="-webkit-standard"/>
              </w:rPr>
              <w:t xml:space="preserve"> ILT</w:t>
            </w:r>
          </w:p>
        </w:tc>
      </w:tr>
      <w:tr w:rsidR="002132B5" w14:paraId="6C29B6B8" w14:textId="77777777">
        <w:trPr>
          <w:jc w:val="center"/>
        </w:trPr>
        <w:tc>
          <w:tcPr>
            <w:tcW w:w="2340" w:type="dxa"/>
          </w:tcPr>
          <w:p w14:paraId="4E95BD18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618426DF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Completion of curriculum maps for math and science</w:t>
            </w:r>
          </w:p>
          <w:p w14:paraId="25D41B18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</w:tc>
        <w:tc>
          <w:tcPr>
            <w:tcW w:w="5310" w:type="dxa"/>
          </w:tcPr>
          <w:p w14:paraId="552038A4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5029CC03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Documentation of:</w:t>
            </w:r>
          </w:p>
          <w:p w14:paraId="6E846029" w14:textId="77777777" w:rsidR="002132B5" w:rsidRDefault="005C14E7">
            <w:pPr>
              <w:numPr>
                <w:ilvl w:val="0"/>
                <w:numId w:val="12"/>
              </w:num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Professional Learning</w:t>
            </w:r>
          </w:p>
          <w:p w14:paraId="6769F343" w14:textId="77777777" w:rsidR="002132B5" w:rsidRDefault="005C14E7">
            <w:pPr>
              <w:numPr>
                <w:ilvl w:val="0"/>
                <w:numId w:val="12"/>
              </w:num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Math and science curriculum maps.</w:t>
            </w:r>
          </w:p>
        </w:tc>
        <w:tc>
          <w:tcPr>
            <w:tcW w:w="5580" w:type="dxa"/>
          </w:tcPr>
          <w:p w14:paraId="66A6409B" w14:textId="77777777" w:rsidR="002132B5" w:rsidRDefault="002132B5">
            <w:pPr>
              <w:rPr>
                <w:rFonts w:ascii="-webkit-standard" w:eastAsia="-webkit-standard" w:hAnsi="-webkit-standard" w:cs="-webkit-standard"/>
                <w:color w:val="000000"/>
              </w:rPr>
            </w:pPr>
          </w:p>
        </w:tc>
        <w:tc>
          <w:tcPr>
            <w:tcW w:w="2520" w:type="dxa"/>
          </w:tcPr>
          <w:p w14:paraId="13097066" w14:textId="77777777" w:rsidR="002132B5" w:rsidRDefault="005C14E7">
            <w:pPr>
              <w:rPr>
                <w:rFonts w:ascii="-webkit-standard" w:eastAsia="-webkit-standard" w:hAnsi="-webkit-standard" w:cs="-webkit-standard"/>
                <w:color w:val="000000"/>
              </w:rPr>
            </w:pPr>
            <w:r>
              <w:rPr>
                <w:rFonts w:ascii="-webkit-standard" w:eastAsia="-webkit-standard" w:hAnsi="-webkit-standard" w:cs="-webkit-standard"/>
              </w:rPr>
              <w:t>ILT</w:t>
            </w:r>
          </w:p>
        </w:tc>
      </w:tr>
      <w:tr w:rsidR="002132B5" w14:paraId="56703593" w14:textId="77777777">
        <w:trPr>
          <w:trHeight w:val="240"/>
          <w:jc w:val="center"/>
        </w:trPr>
        <w:tc>
          <w:tcPr>
            <w:tcW w:w="15750" w:type="dxa"/>
            <w:gridSpan w:val="4"/>
            <w:shd w:val="clear" w:color="auto" w:fill="EFEFEF"/>
          </w:tcPr>
          <w:p w14:paraId="17539D7E" w14:textId="77777777" w:rsidR="002132B5" w:rsidRDefault="002132B5">
            <w:pPr>
              <w:rPr>
                <w:rFonts w:ascii="-webkit-standard" w:eastAsia="-webkit-standard" w:hAnsi="-webkit-standard" w:cs="-webkit-standard"/>
                <w:b/>
              </w:rPr>
            </w:pPr>
          </w:p>
          <w:p w14:paraId="7DCDACEF" w14:textId="77777777" w:rsidR="002132B5" w:rsidRDefault="005C14E7">
            <w:pPr>
              <w:rPr>
                <w:rFonts w:ascii="-webkit-standard" w:eastAsia="-webkit-standard" w:hAnsi="-webkit-standard" w:cs="-webkit-standard"/>
                <w:b/>
              </w:rPr>
            </w:pPr>
            <w:r>
              <w:rPr>
                <w:rFonts w:ascii="-webkit-standard" w:eastAsia="-webkit-standard" w:hAnsi="-webkit-standard" w:cs="-webkit-standard"/>
                <w:b/>
              </w:rPr>
              <w:t>III.) IMPROVE STUDENT LEARNING</w:t>
            </w:r>
          </w:p>
        </w:tc>
      </w:tr>
      <w:tr w:rsidR="002132B5" w14:paraId="05E04983" w14:textId="77777777">
        <w:trPr>
          <w:jc w:val="center"/>
        </w:trPr>
        <w:tc>
          <w:tcPr>
            <w:tcW w:w="2340" w:type="dxa"/>
          </w:tcPr>
          <w:p w14:paraId="29C41FD8" w14:textId="77777777" w:rsidR="002132B5" w:rsidRDefault="005C14E7">
            <w:pPr>
              <w:rPr>
                <w:rFonts w:ascii="-webkit-standard" w:eastAsia="-webkit-standard" w:hAnsi="-webkit-standard" w:cs="-webkit-standard"/>
                <w:b/>
              </w:rPr>
            </w:pPr>
            <w:r>
              <w:rPr>
                <w:rFonts w:ascii="-webkit-standard" w:eastAsia="-webkit-standard" w:hAnsi="-webkit-standard" w:cs="-webkit-standard"/>
                <w:b/>
              </w:rPr>
              <w:t>What is being monitored</w:t>
            </w:r>
          </w:p>
        </w:tc>
        <w:tc>
          <w:tcPr>
            <w:tcW w:w="5310" w:type="dxa"/>
          </w:tcPr>
          <w:p w14:paraId="64067A55" w14:textId="77777777" w:rsidR="002132B5" w:rsidRDefault="005C14E7">
            <w:pPr>
              <w:rPr>
                <w:rFonts w:ascii="-webkit-standard" w:eastAsia="-webkit-standard" w:hAnsi="-webkit-standard" w:cs="-webkit-standard"/>
                <w:b/>
              </w:rPr>
            </w:pPr>
            <w:r>
              <w:rPr>
                <w:rFonts w:ascii="-webkit-standard" w:eastAsia="-webkit-standard" w:hAnsi="-webkit-standard" w:cs="-webkit-standard"/>
                <w:b/>
              </w:rPr>
              <w:t>Evidence Collection</w:t>
            </w:r>
          </w:p>
        </w:tc>
        <w:tc>
          <w:tcPr>
            <w:tcW w:w="5580" w:type="dxa"/>
          </w:tcPr>
          <w:p w14:paraId="678FF90D" w14:textId="77777777" w:rsidR="002132B5" w:rsidRDefault="005C14E7">
            <w:pPr>
              <w:rPr>
                <w:rFonts w:ascii="-webkit-standard" w:eastAsia="-webkit-standard" w:hAnsi="-webkit-standard" w:cs="-webkit-standard"/>
                <w:b/>
              </w:rPr>
            </w:pPr>
            <w:r>
              <w:rPr>
                <w:rFonts w:ascii="-webkit-standard" w:eastAsia="-webkit-standard" w:hAnsi="-webkit-standard" w:cs="-webkit-standard"/>
                <w:b/>
              </w:rPr>
              <w:t>Notes</w:t>
            </w:r>
          </w:p>
        </w:tc>
        <w:tc>
          <w:tcPr>
            <w:tcW w:w="2520" w:type="dxa"/>
          </w:tcPr>
          <w:p w14:paraId="19525053" w14:textId="77777777" w:rsidR="002132B5" w:rsidRDefault="005C14E7">
            <w:pPr>
              <w:rPr>
                <w:rFonts w:ascii="-webkit-standard" w:eastAsia="-webkit-standard" w:hAnsi="-webkit-standard" w:cs="-webkit-standard"/>
                <w:b/>
              </w:rPr>
            </w:pPr>
            <w:r>
              <w:rPr>
                <w:rFonts w:ascii="-webkit-standard" w:eastAsia="-webkit-standard" w:hAnsi="-webkit-standard" w:cs="-webkit-standard"/>
                <w:b/>
              </w:rPr>
              <w:t xml:space="preserve">Person(s) Responsible </w:t>
            </w:r>
          </w:p>
        </w:tc>
      </w:tr>
      <w:tr w:rsidR="002132B5" w14:paraId="0AD68D77" w14:textId="77777777">
        <w:trPr>
          <w:jc w:val="center"/>
        </w:trPr>
        <w:tc>
          <w:tcPr>
            <w:tcW w:w="2340" w:type="dxa"/>
          </w:tcPr>
          <w:p w14:paraId="0870D367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6B6ABB5B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Workshop Model</w:t>
            </w:r>
          </w:p>
          <w:p w14:paraId="78A280F3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</w:tc>
        <w:tc>
          <w:tcPr>
            <w:tcW w:w="5310" w:type="dxa"/>
          </w:tcPr>
          <w:p w14:paraId="0D39E3E4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00E84DD1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Walk -Thru Data</w:t>
            </w:r>
          </w:p>
        </w:tc>
        <w:tc>
          <w:tcPr>
            <w:tcW w:w="5580" w:type="dxa"/>
          </w:tcPr>
          <w:p w14:paraId="6AFDEFF0" w14:textId="77777777" w:rsidR="002132B5" w:rsidRDefault="002132B5">
            <w:pPr>
              <w:rPr>
                <w:rFonts w:ascii="-webkit-standard" w:eastAsia="-webkit-standard" w:hAnsi="-webkit-standard" w:cs="-webkit-standard"/>
                <w:color w:val="000000"/>
              </w:rPr>
            </w:pPr>
          </w:p>
        </w:tc>
        <w:tc>
          <w:tcPr>
            <w:tcW w:w="2520" w:type="dxa"/>
          </w:tcPr>
          <w:p w14:paraId="2AEAC00D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ILT</w:t>
            </w:r>
          </w:p>
        </w:tc>
      </w:tr>
      <w:tr w:rsidR="002132B5" w14:paraId="29930A87" w14:textId="77777777">
        <w:trPr>
          <w:jc w:val="center"/>
        </w:trPr>
        <w:tc>
          <w:tcPr>
            <w:tcW w:w="2340" w:type="dxa"/>
          </w:tcPr>
          <w:p w14:paraId="63FDC06E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18CC30A1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Formative Assessment Practices</w:t>
            </w:r>
          </w:p>
          <w:p w14:paraId="6C723CD8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</w:tc>
        <w:tc>
          <w:tcPr>
            <w:tcW w:w="5310" w:type="dxa"/>
          </w:tcPr>
          <w:p w14:paraId="759518AF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73E0F944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Walk -Thru Data</w:t>
            </w:r>
          </w:p>
        </w:tc>
        <w:tc>
          <w:tcPr>
            <w:tcW w:w="5580" w:type="dxa"/>
          </w:tcPr>
          <w:p w14:paraId="18C7A41C" w14:textId="77777777" w:rsidR="002132B5" w:rsidRDefault="002132B5">
            <w:pPr>
              <w:rPr>
                <w:rFonts w:ascii="-webkit-standard" w:eastAsia="-webkit-standard" w:hAnsi="-webkit-standard" w:cs="-webkit-standard"/>
                <w:color w:val="000000"/>
              </w:rPr>
            </w:pPr>
          </w:p>
        </w:tc>
        <w:tc>
          <w:tcPr>
            <w:tcW w:w="2520" w:type="dxa"/>
          </w:tcPr>
          <w:p w14:paraId="3DEF8A22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ILT</w:t>
            </w:r>
          </w:p>
        </w:tc>
      </w:tr>
      <w:tr w:rsidR="002132B5" w14:paraId="59CD0352" w14:textId="77777777">
        <w:trPr>
          <w:jc w:val="center"/>
        </w:trPr>
        <w:tc>
          <w:tcPr>
            <w:tcW w:w="2340" w:type="dxa"/>
          </w:tcPr>
          <w:p w14:paraId="09079E29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044B3874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Explicit and Intentional instruction</w:t>
            </w:r>
          </w:p>
          <w:p w14:paraId="54C17E66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</w:tc>
        <w:tc>
          <w:tcPr>
            <w:tcW w:w="5310" w:type="dxa"/>
          </w:tcPr>
          <w:p w14:paraId="1E1AFB1B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0C1FEB71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Walk -Thru Data</w:t>
            </w:r>
          </w:p>
        </w:tc>
        <w:tc>
          <w:tcPr>
            <w:tcW w:w="5580" w:type="dxa"/>
          </w:tcPr>
          <w:p w14:paraId="3F97FD1B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</w:tc>
        <w:tc>
          <w:tcPr>
            <w:tcW w:w="2520" w:type="dxa"/>
          </w:tcPr>
          <w:p w14:paraId="44D5D158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ILT</w:t>
            </w:r>
          </w:p>
        </w:tc>
      </w:tr>
      <w:tr w:rsidR="002132B5" w14:paraId="7889B1C0" w14:textId="77777777">
        <w:trPr>
          <w:jc w:val="center"/>
        </w:trPr>
        <w:tc>
          <w:tcPr>
            <w:tcW w:w="2340" w:type="dxa"/>
          </w:tcPr>
          <w:p w14:paraId="29053F46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49593C24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lastRenderedPageBreak/>
              <w:t>Access to wide range of literature</w:t>
            </w:r>
          </w:p>
          <w:p w14:paraId="7F651780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64439550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</w:tc>
        <w:tc>
          <w:tcPr>
            <w:tcW w:w="5310" w:type="dxa"/>
          </w:tcPr>
          <w:p w14:paraId="0FC41C2C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71796BFE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lastRenderedPageBreak/>
              <w:t xml:space="preserve">Classroom </w:t>
            </w:r>
            <w:proofErr w:type="gramStart"/>
            <w:r>
              <w:rPr>
                <w:rFonts w:ascii="-webkit-standard" w:eastAsia="-webkit-standard" w:hAnsi="-webkit-standard" w:cs="-webkit-standard"/>
              </w:rPr>
              <w:t>libraries  and</w:t>
            </w:r>
            <w:proofErr w:type="gramEnd"/>
            <w:r>
              <w:rPr>
                <w:rFonts w:ascii="-webkit-standard" w:eastAsia="-webkit-standard" w:hAnsi="-webkit-standard" w:cs="-webkit-standard"/>
              </w:rPr>
              <w:t xml:space="preserve"> school wide library contain wide range of reading material. </w:t>
            </w:r>
          </w:p>
        </w:tc>
        <w:tc>
          <w:tcPr>
            <w:tcW w:w="5580" w:type="dxa"/>
          </w:tcPr>
          <w:p w14:paraId="5A30EF53" w14:textId="77777777" w:rsidR="002132B5" w:rsidRDefault="002132B5">
            <w:pPr>
              <w:rPr>
                <w:rFonts w:ascii="-webkit-standard" w:eastAsia="-webkit-standard" w:hAnsi="-webkit-standard" w:cs="-webkit-standard"/>
                <w:color w:val="000000"/>
              </w:rPr>
            </w:pPr>
          </w:p>
        </w:tc>
        <w:tc>
          <w:tcPr>
            <w:tcW w:w="2520" w:type="dxa"/>
          </w:tcPr>
          <w:p w14:paraId="225A2D54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 xml:space="preserve">Principal </w:t>
            </w:r>
          </w:p>
        </w:tc>
      </w:tr>
      <w:tr w:rsidR="002132B5" w14:paraId="39FBB904" w14:textId="77777777">
        <w:trPr>
          <w:jc w:val="center"/>
        </w:trPr>
        <w:tc>
          <w:tcPr>
            <w:tcW w:w="2340" w:type="dxa"/>
          </w:tcPr>
          <w:p w14:paraId="55750278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04EC88D8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014A7262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 xml:space="preserve">Infuse academic vocabulary </w:t>
            </w:r>
          </w:p>
          <w:p w14:paraId="2012B7A6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</w:tc>
        <w:tc>
          <w:tcPr>
            <w:tcW w:w="5310" w:type="dxa"/>
          </w:tcPr>
          <w:p w14:paraId="091C2EEE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1941145A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70B67F25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 xml:space="preserve">Word charts that are co-created by students and teacher.  </w:t>
            </w:r>
          </w:p>
          <w:p w14:paraId="2438AAB6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</w:tc>
        <w:tc>
          <w:tcPr>
            <w:tcW w:w="5580" w:type="dxa"/>
          </w:tcPr>
          <w:p w14:paraId="2CF9D884" w14:textId="77777777" w:rsidR="002132B5" w:rsidRDefault="002132B5">
            <w:pPr>
              <w:rPr>
                <w:rFonts w:ascii="-webkit-standard" w:eastAsia="-webkit-standard" w:hAnsi="-webkit-standard" w:cs="-webkit-standard"/>
                <w:color w:val="000000"/>
              </w:rPr>
            </w:pPr>
          </w:p>
        </w:tc>
        <w:tc>
          <w:tcPr>
            <w:tcW w:w="2520" w:type="dxa"/>
          </w:tcPr>
          <w:p w14:paraId="07F415F9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ILT</w:t>
            </w:r>
          </w:p>
        </w:tc>
      </w:tr>
      <w:tr w:rsidR="002132B5" w14:paraId="01D1986D" w14:textId="77777777">
        <w:trPr>
          <w:jc w:val="center"/>
        </w:trPr>
        <w:tc>
          <w:tcPr>
            <w:tcW w:w="2340" w:type="dxa"/>
          </w:tcPr>
          <w:p w14:paraId="08F593D7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50355A39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>Explore reading intervention programs.</w:t>
            </w:r>
          </w:p>
          <w:p w14:paraId="29D3229C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</w:tc>
        <w:tc>
          <w:tcPr>
            <w:tcW w:w="5310" w:type="dxa"/>
          </w:tcPr>
          <w:p w14:paraId="23E395B6" w14:textId="77777777" w:rsidR="002132B5" w:rsidRDefault="002132B5">
            <w:pPr>
              <w:rPr>
                <w:rFonts w:ascii="-webkit-standard" w:eastAsia="-webkit-standard" w:hAnsi="-webkit-standard" w:cs="-webkit-standard"/>
              </w:rPr>
            </w:pPr>
          </w:p>
          <w:p w14:paraId="6CF33531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 xml:space="preserve">Documentation of teacher meetings for the purpose of reviewing, assessing, and selecting a reading intervention program. </w:t>
            </w:r>
          </w:p>
        </w:tc>
        <w:tc>
          <w:tcPr>
            <w:tcW w:w="5580" w:type="dxa"/>
          </w:tcPr>
          <w:p w14:paraId="494C7CFB" w14:textId="77777777" w:rsidR="002132B5" w:rsidRDefault="002132B5">
            <w:pPr>
              <w:rPr>
                <w:rFonts w:ascii="-webkit-standard" w:eastAsia="-webkit-standard" w:hAnsi="-webkit-standard" w:cs="-webkit-standard"/>
                <w:color w:val="000000"/>
              </w:rPr>
            </w:pPr>
          </w:p>
        </w:tc>
        <w:tc>
          <w:tcPr>
            <w:tcW w:w="2520" w:type="dxa"/>
          </w:tcPr>
          <w:p w14:paraId="16637D7B" w14:textId="77777777" w:rsidR="002132B5" w:rsidRDefault="005C14E7">
            <w:pPr>
              <w:rPr>
                <w:rFonts w:ascii="-webkit-standard" w:eastAsia="-webkit-standard" w:hAnsi="-webkit-standard" w:cs="-webkit-standard"/>
              </w:rPr>
            </w:pPr>
            <w:r>
              <w:rPr>
                <w:rFonts w:ascii="-webkit-standard" w:eastAsia="-webkit-standard" w:hAnsi="-webkit-standard" w:cs="-webkit-standard"/>
              </w:rPr>
              <w:t xml:space="preserve">Principal </w:t>
            </w:r>
          </w:p>
        </w:tc>
      </w:tr>
    </w:tbl>
    <w:p w14:paraId="60D13EAD" w14:textId="77777777" w:rsidR="002132B5" w:rsidRDefault="002132B5">
      <w:pPr>
        <w:rPr>
          <w:rFonts w:ascii="-webkit-standard" w:eastAsia="-webkit-standard" w:hAnsi="-webkit-standard" w:cs="-webkit-standard"/>
          <w:color w:val="000000"/>
        </w:rPr>
      </w:pPr>
    </w:p>
    <w:sectPr w:rsidR="002132B5">
      <w:footerReference w:type="even" r:id="rId35"/>
      <w:footerReference w:type="default" r:id="rId36"/>
      <w:pgSz w:w="16840" w:h="11900" w:orient="landscape"/>
      <w:pgMar w:top="28" w:right="288" w:bottom="28" w:left="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50C05" w14:textId="77777777" w:rsidR="005C14E7" w:rsidRDefault="005C14E7">
      <w:r>
        <w:separator/>
      </w:r>
    </w:p>
  </w:endnote>
  <w:endnote w:type="continuationSeparator" w:id="0">
    <w:p w14:paraId="161C04E1" w14:textId="77777777" w:rsidR="005C14E7" w:rsidRDefault="005C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ee Serif">
    <w:altName w:val="Times New Roman"/>
    <w:charset w:val="00"/>
    <w:family w:val="auto"/>
    <w:pitch w:val="default"/>
  </w:font>
  <w:font w:name="-webkit-standar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51255" w14:textId="77777777" w:rsidR="002132B5" w:rsidRDefault="005C14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AAD24B0" w14:textId="77777777" w:rsidR="002132B5" w:rsidRDefault="002132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7018C" w14:textId="77777777" w:rsidR="002132B5" w:rsidRDefault="005C14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E1CCF">
      <w:rPr>
        <w:color w:val="000000"/>
      </w:rPr>
      <w:fldChar w:fldCharType="separate"/>
    </w:r>
    <w:r w:rsidR="005E1CCF">
      <w:rPr>
        <w:noProof/>
        <w:color w:val="000000"/>
      </w:rPr>
      <w:t>1</w:t>
    </w:r>
    <w:r>
      <w:rPr>
        <w:color w:val="000000"/>
      </w:rPr>
      <w:fldChar w:fldCharType="end"/>
    </w:r>
  </w:p>
  <w:p w14:paraId="739339F0" w14:textId="77777777" w:rsidR="002132B5" w:rsidRDefault="002132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DDBC3" w14:textId="77777777" w:rsidR="005C14E7" w:rsidRDefault="005C14E7">
      <w:r>
        <w:separator/>
      </w:r>
    </w:p>
  </w:footnote>
  <w:footnote w:type="continuationSeparator" w:id="0">
    <w:p w14:paraId="76D55145" w14:textId="77777777" w:rsidR="005C14E7" w:rsidRDefault="005C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3492"/>
    <w:multiLevelType w:val="multilevel"/>
    <w:tmpl w:val="067660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1F87CD0"/>
    <w:multiLevelType w:val="multilevel"/>
    <w:tmpl w:val="FE324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551EEA"/>
    <w:multiLevelType w:val="multilevel"/>
    <w:tmpl w:val="55226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C970374"/>
    <w:multiLevelType w:val="multilevel"/>
    <w:tmpl w:val="2F2E7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4A04300"/>
    <w:multiLevelType w:val="multilevel"/>
    <w:tmpl w:val="3FCE3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65E12C4"/>
    <w:multiLevelType w:val="multilevel"/>
    <w:tmpl w:val="5D84E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ED70AD4"/>
    <w:multiLevelType w:val="multilevel"/>
    <w:tmpl w:val="11C06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41C720F3"/>
    <w:multiLevelType w:val="multilevel"/>
    <w:tmpl w:val="84C26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7CD589B"/>
    <w:multiLevelType w:val="multilevel"/>
    <w:tmpl w:val="03D0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BC166C8"/>
    <w:multiLevelType w:val="multilevel"/>
    <w:tmpl w:val="AE686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CBF12E8"/>
    <w:multiLevelType w:val="multilevel"/>
    <w:tmpl w:val="F9607DF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E46291B"/>
    <w:multiLevelType w:val="multilevel"/>
    <w:tmpl w:val="5A38A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58C2927"/>
    <w:multiLevelType w:val="multilevel"/>
    <w:tmpl w:val="D1EE527A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78F63F2"/>
    <w:multiLevelType w:val="multilevel"/>
    <w:tmpl w:val="2A345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5B7B4A22"/>
    <w:multiLevelType w:val="multilevel"/>
    <w:tmpl w:val="940C047E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57D2A66"/>
    <w:multiLevelType w:val="multilevel"/>
    <w:tmpl w:val="A3126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2EF0DD4"/>
    <w:multiLevelType w:val="multilevel"/>
    <w:tmpl w:val="87100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44B369B"/>
    <w:multiLevelType w:val="hybridMultilevel"/>
    <w:tmpl w:val="37CA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4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15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B5"/>
    <w:rsid w:val="000169C9"/>
    <w:rsid w:val="002132B5"/>
    <w:rsid w:val="005C14E7"/>
    <w:rsid w:val="005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E51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pbisrewards.com/blog/what-is-mtss/" TargetMode="External"/><Relationship Id="rId21" Type="http://schemas.openxmlformats.org/officeDocument/2006/relationships/hyperlink" Target="https://docs.google.com/document/d/1d5VTvwniXG61m4Lpoh_Vw_jifbSJZ6kgB27KtXhUBCw/edit?usp=sharing" TargetMode="External"/><Relationship Id="rId22" Type="http://schemas.openxmlformats.org/officeDocument/2006/relationships/hyperlink" Target="https://docs.google.com/document/d/1k1wVDnPvD4K920q48hmksqBVa5cupx2IDxj7M3FwiPo/edit?usp=sharing" TargetMode="External"/><Relationship Id="rId23" Type="http://schemas.openxmlformats.org/officeDocument/2006/relationships/hyperlink" Target="https://docs.google.com/document/d/1k1wVDnPvD4K920q48hmksqBVa5cupx2IDxj7M3FwiPo/edit?usp=sharing" TargetMode="External"/><Relationship Id="rId24" Type="http://schemas.openxmlformats.org/officeDocument/2006/relationships/hyperlink" Target="https://docs.google.com/document/d/1d5VTvwniXG61m4Lpoh_Vw_jifbSJZ6kgB27KtXhUBCw/edit?usp=sharing" TargetMode="External"/><Relationship Id="rId25" Type="http://schemas.openxmlformats.org/officeDocument/2006/relationships/hyperlink" Target="https://docs.google.com/document/d/1d5VTvwniXG61m4Lpoh_Vw_jifbSJZ6kgB27KtXhUBCw/edit?usp=sharing" TargetMode="External"/><Relationship Id="rId26" Type="http://schemas.openxmlformats.org/officeDocument/2006/relationships/hyperlink" Target="https://docs.google.com/document/d/1DGz_FTgBOY0lduqkunFEedR36IEGV4Lvtvv3mTRAKm4/edit?usp=sharing" TargetMode="External"/><Relationship Id="rId27" Type="http://schemas.openxmlformats.org/officeDocument/2006/relationships/hyperlink" Target="https://docs.google.com/document/d/1C8GpSTKHZE4zgzj4316sZAdFO_cz_ZspbwqRpVXmFTM/edit?usp=sharing" TargetMode="External"/><Relationship Id="rId28" Type="http://schemas.openxmlformats.org/officeDocument/2006/relationships/hyperlink" Target="https://docs.google.com/spreadsheets/d/1NhIVhLSSnOXwU7bCkhhNXxjJzYljcD46twwv_FwHVfw/edit?usp=sharing" TargetMode="External"/><Relationship Id="rId29" Type="http://schemas.openxmlformats.org/officeDocument/2006/relationships/hyperlink" Target="https://docs.google.com/document/d/1k1wVDnPvD4K920q48hmksqBVa5cupx2IDxj7M3FwiPo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docs.google.com/document/d/1DGz_FTgBOY0lduqkunFEedR36IEGV4Lvtvv3mTRAKm4/edit?usp=sharing" TargetMode="External"/><Relationship Id="rId31" Type="http://schemas.openxmlformats.org/officeDocument/2006/relationships/hyperlink" Target="https://docs.google.com/document/d/1C8GpSTKHZE4zgzj4316sZAdFO_cz_ZspbwqRpVXmFTM/edit?usp=sharing" TargetMode="External"/><Relationship Id="rId32" Type="http://schemas.openxmlformats.org/officeDocument/2006/relationships/hyperlink" Target="https://docs.google.com/spreadsheets/d/1NhIVhLSSnOXwU7bCkhhNXxjJzYljcD46twwv_FwHVfw/edit?usp=sharing" TargetMode="External"/><Relationship Id="rId9" Type="http://schemas.openxmlformats.org/officeDocument/2006/relationships/hyperlink" Target="http://keoluelementary.com/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hyperlink" Target="https://docs.google.com/spreadsheets/d/1m6P_KnWjy345VpomZSEdBXAjI2RU1qv-c0V-mpNuML8/edit?usp=sharing" TargetMode="External"/><Relationship Id="rId34" Type="http://schemas.openxmlformats.org/officeDocument/2006/relationships/hyperlink" Target="https://secure.panoramaed.com/login" TargetMode="Externa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s://drive.google.com/file/d/1O5cpJEpEvLEjghUcpDL8aIXePjSzF546/view?usp=sharing" TargetMode="External"/><Relationship Id="rId13" Type="http://schemas.openxmlformats.org/officeDocument/2006/relationships/hyperlink" Target="https://secure.panoramaed.com/login" TargetMode="External"/><Relationship Id="rId14" Type="http://schemas.openxmlformats.org/officeDocument/2006/relationships/hyperlink" Target="https://drive.google.com/file/d/1Nwto7wlU9ONZLnIgOVf3EixTMOZ6tbZS/view?usp=sharing" TargetMode="External"/><Relationship Id="rId15" Type="http://schemas.openxmlformats.org/officeDocument/2006/relationships/hyperlink" Target="https://docs.google.com/document/d/1k1wVDnPvD4K920q48hmksqBVa5cupx2IDxj7M3FwiPo/edit?usp=sharing" TargetMode="External"/><Relationship Id="rId16" Type="http://schemas.openxmlformats.org/officeDocument/2006/relationships/hyperlink" Target="https://docs.google.com/spreadsheets/d/1m6P_KnWjy345VpomZSEdBXAjI2RU1qv-c0V-mpNuML8/edit?usp=sharing" TargetMode="External"/><Relationship Id="rId17" Type="http://schemas.openxmlformats.org/officeDocument/2006/relationships/hyperlink" Target="https://docs.google.com/document/d/1k1wVDnPvD4K920q48hmksqBVa5cupx2IDxj7M3FwiPo/edit?usp=sharing" TargetMode="External"/><Relationship Id="rId18" Type="http://schemas.openxmlformats.org/officeDocument/2006/relationships/hyperlink" Target="https://docs.google.com/spreadsheets/d/1m6P_KnWjy345VpomZSEdBXAjI2RU1qv-c0V-mpNuML8/edit?usp=sharing" TargetMode="External"/><Relationship Id="rId19" Type="http://schemas.openxmlformats.org/officeDocument/2006/relationships/hyperlink" Target="https://secure.panoramaed.com/login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1945</Words>
  <Characters>11089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gggseward@gmail.com</cp:lastModifiedBy>
  <cp:revision>2</cp:revision>
  <dcterms:created xsi:type="dcterms:W3CDTF">2021-05-04T15:06:00Z</dcterms:created>
  <dcterms:modified xsi:type="dcterms:W3CDTF">2021-05-04T15:06:00Z</dcterms:modified>
</cp:coreProperties>
</file>